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PflVG — Finanzierung</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Die Verkehrsopferhilfe hat in ihrer Satzung Leistungen durch ihre Mitglieder und die weiteren nach § 8 Absatz 1 und 2 verpflichteten Unternehmen in Form von Beiträgen, Vorschüssen, Umlagen, Sonderbeiträgen und sonstigen Leistungen sowie ausreichende Sicherheitsleistungen für zukünftige Beiträge, Umlagen oder Sonderbeiträge so vorzusehen, dass die Verkehrsopferhilfe jederzeit über ausreichende liquide Mittel zur Erfüllung ihrer Aufgaben nach diesem Gesetz und ihrer Satzung, insbesondere zur Deckung bereits entstandener sowie zukünftiger und potentieller Entschädigungsleistungen, sowie der dafür erforderlichen Verwaltungskosten verfügt.</w:t>
      </w:r>
    </w:p>
    <w:p>
      <w:r>
        <w:t xml:space="preserve">(2) Die Mittel aus Leistungen der nach § 8 Absatz 1 verpflichteten Unternehmen dürfen nur für die Erfüllung der Aufgaben des Entschädigungsfonds einschließlich der Aufgaben des Entschädigungsfonds nach § 12 Absatz 1 Satz 1 Nummer 4 in der bis zum 17. April 2024 geltenden Fassung und der Entschädigungsstelle sowie die dafür erforderlichen Aufwendungen verwendet werden. Die Mittel der nach § 8 Absatz 2 verpflichteten Unternehmen dürfen nur für die Erfüllung der Aufgaben des Insolvenzfonds sowie die dafür erforderlichen Aufwendungen verwendet werden. Verwaltungskosten, die für die Erfüllung mehrerer Aufgaben anfallen, können nach einem sachgerechten und nachvollziehbaren Schlüssel aufgeteilt werden.</w:t>
      </w:r>
    </w:p>
    <w:p>
      <w:r>
        <w:rPr>
          <w:color w:val="555555"/>
          <w:sz w:val="17"/>
        </w:rPr>
        <w:t xml:space="preserve">Zitiervorschlag: § 27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