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PflVG — Wahrnehmung der Aufgaben durch die Verkehrsopferhilfe</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Dem rechtsfähigen Verein „Verkehrsopferhilfe eingetragener Verein“ in Berlin (Verkehrsopferhilfe) sind mit seiner Zustimmung zugewiesen:</w:t>
      </w:r>
    </w:p>
    <w:p>
      <w:pPr>
        <w:ind w:left="420"/>
      </w:pPr>
      <w:r>
        <w:t xml:space="preserve">1. die Stellung des Entschädigungsfonds und die Wahrnehmung der Aufgaben und Befugnisse des Entschädigungsfonds aufgrund § 13 Absatz 2 in der bis zum 17. April 2024 geltenden Fassung in Verbindung mit der Verordnung nach § 13 Absatz 2 in der bis zum 17. April 2024 geltenden Fassung,</w:t>
      </w:r>
    </w:p>
    <w:p>
      <w:pPr>
        <w:ind w:left="420"/>
      </w:pPr>
      <w:r>
        <w:t xml:space="preserve">2. die Stellung der Entschädigungsstelle und die Aufgaben und Befugnisse der Entschädigungsstelle aufgrund § 13a Absatz 1 in der bis zum 17. April 2024 geltenden Fassung und</w:t>
      </w:r>
    </w:p>
    <w:p>
      <w:pPr>
        <w:ind w:left="420"/>
      </w:pPr>
      <w:r>
        <w:t xml:space="preserve">3. die Stellung und die Aufgaben und Befugnisse der Verhandlungsstelle aufgrund § 14a in der bis zum 17. April 2024 geltenden Fassung.</w:t>
      </w:r>
    </w:p>
    <w:p>
      <w:r>
        <w:t xml:space="preserve">(2) Der Verkehrsopferhilfe werden die Stellung des Insolvenzfonds und die Wahrnehmung der Aufgaben und Befugnisse des Insolvenzfonds zugewiesen, sobald diese schriftlich gegenüber dem Bundesministerium der Justiz ihre Bereitschaft dazu erklärt hat. Das Bundesministerium der Justiz gibt die Erklärung und den Zeitpunkt, ab dem die betroffenen Aufgaben von der Verkehrsopferhilfe wahrgenommen werden, im Bundesanzeiger bekannt. Mit Zuweisung nach Satz 1 ist die Verkehrsopferhilfe zugelassene Stelle im Sinne des Artikels 10a Absatz 1 und des Artikels 25a Absatz 1 der Richtlinie 2009/103/EG.</w:t>
      </w:r>
    </w:p>
    <w:p>
      <w:r>
        <w:t xml:space="preserve">(3) Die Verkehrsopferhilfe kann sich zur Schadenregulierung anderer Personen oder Einrichtungen, insbesondere eines zur Übernahme der Regulierung bereiten Versicherungsunternehmens oder Schadenabwicklungsunternehmens, bedienen.</w:t>
      </w:r>
    </w:p>
    <w:p>
      <w:r>
        <w:t xml:space="preserve">(4) Die Verkehrsopferhilfe hat an deutlich sichtbarer Stelle auf ihrer Internetseite und einem Geschädigten auf dessen Verlangen die wesentlichen Informationen über die verschiedenen Wege der Beantragung von Schadensersatz auf Papier oder in Textform bereitzustellen, sofern einzelne der in den Absätzen 1 und 2 genannten Aufgabenbereiche durch Rechtsverordnung gemäß § 28 Absatz 1 oder 2 einer anderen juristischen Person übertragen worden sind.</w:t>
      </w:r>
    </w:p>
    <w:p>
      <w:r>
        <w:rPr>
          <w:color w:val="555555"/>
          <w:sz w:val="17"/>
        </w:rPr>
        <w:t xml:space="preserve">Zitiervorschlag: § 24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