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PflVG — Wahrnehmung der Aufgaben durch eine Anstalt; Verordnungsermächtigung</w:t>
      </w:r>
    </w:p>
    <w:p>
      <w:r>
        <w:rPr>
          <w:color w:val="555555"/>
          <w:sz w:val="18"/>
        </w:rPr>
        <w:t xml:space="preserve">Pflichtversicherungsgesetz</w:t>
      </w:r>
    </w:p>
    <w:p>
      <w:r>
        <w:rPr>
          <w:color w:val="555555"/>
          <w:sz w:val="18"/>
        </w:rPr>
        <w:t xml:space="preserve">Stand: 17.04.2024 (konsolidierte Textfassung, kein amtliches Inkrafttretensdatum)</w:t>
      </w:r>
    </w:p>
    <w:p>
      <w:r>
        <w:t xml:space="preserve">(1) Die nach § 13 Absatz 1 Satz 1 und 2 in der bis zum 17. April 2024 geltenden Fassung errichtete Anstalt nimmt die ihr nach diesem Gesetz oder aufgrund dieses Gesetzes übertragenen Aufgaben wahr und untersteht der Aufsicht des Bundesministeriums der Justiz. Das Nähere über die Anstalt bestimmt die Satzung, die von der Bundesregierung durch Rechtsverordnung ohne Zustimmung des Bundesrates erlassen wird.</w:t>
      </w:r>
    </w:p>
    <w:p>
      <w:r>
        <w:t xml:space="preserve">(2) Soweit der Anstalt Aufgaben nach § 8a Absatz 3 Satz 4 oder § 28 Absatz 1 übertragen werden, sind zur Leistung von Beiträgen an die Anstalt verpflichtet:</w:t>
      </w:r>
    </w:p>
    <w:p>
      <w:pPr>
        <w:ind w:left="420"/>
      </w:pPr>
      <w:r>
        <w:t xml:space="preserve">1. zur Deckung der Verwaltungskosten für die Wahrnehmung der Aufgaben der Auskunftsstelle und zur Deckung der Entschädigungsleistungen und der Verwaltungskosten für die Wahrnehmung der Aufgaben des Entschädigungsfonds</w:t>
      </w:r>
    </w:p>
    <w:p>
      <w:pPr>
        <w:ind w:left="780"/>
      </w:pPr>
      <w:r>
        <w:t xml:space="preserve">a) die im Geltungsbereich dieses Gesetzes zum Betrieb der Kraftfahrzeug-Haftpflichtversicherung befugten Versicherungsunternehmen unter Berücksichtigung ihres Anteils an den gebuchten Prämienbeträgen und der Anzahl der versicherten Risiken bezüglich der von ihnen in der Bundesrepublik Deutschland nach diesem Gesetz getätigten Kraftfahrzeug-Haftpflichtversicherungen,</w:t>
      </w:r>
    </w:p>
    <w:p>
      <w:pPr>
        <w:ind w:left="780"/>
      </w:pPr>
      <w:r>
        <w:t xml:space="preserve">b) die nach § 2 Absatz 1 Nummer 1 bis 4 von der Versicherungspflicht befreiten Halter nichtversicherter Fahrzeuge sowie die Haftpflichtschadenausgleiche im Sinne des § 3 Absatz 1 Nummer 4 des Versicherungsaufsichtsgesetzes jeweils unter Berücksichtigung ihres Anteils am Gesamtbestand der Fahrzeuge und der Art dieser Fahrzeuge;</w:t>
      </w:r>
    </w:p>
    <w:p>
      <w:pPr>
        <w:ind w:left="420"/>
      </w:pPr>
      <w:r>
        <w:t xml:space="preserve">2. zur Deckung der Entschädigungsleistungen und der Verwaltungskosten für die Wahrnehmung der Aufgaben der Entschädigungsstelle die im Geltungsbereich dieses Gesetzes zum Betrieb der Kraftfahrzeug-Haftpflichtversicherung befugten Versicherungsunternehmen unter Berücksichtigung ihres Anteils an den gebuchten Prämienbeträgen und der Anzahl der versicherten Risiken bezüglich der von ihnen in der Bundesrepublik Deutschland nach diesem Gesetz getätigten Kraftfahrzeug-Haftpflichtversicherungen;</w:t>
      </w:r>
    </w:p>
    <w:p>
      <w:pPr>
        <w:ind w:left="420"/>
      </w:pPr>
      <w:r>
        <w:t xml:space="preserve">3. zur Deckung der Entschädigungsleistungen und der Verwaltungskosten für die Wahrnehmung der Aufgaben des Insolvenzfonds die Versicherungsunternehmen, die in Deutschland zum Betrieb der Kraftfahrzeug-Haftpflichtversicherung zugelassen wurden, unter Berücksichtigung ihres Anteils an den gebuchten Prämienbeträgen und der Anzahl der versicherten Risiken bezüglich der von ihnen in der Bundesrepublik Deutschland und in den übrigen Staaten des Europäischen Wirtschaftsraums getätigten Kraftfahrzeug-Haftpflichtversicherungen.</w:t>
      </w:r>
    </w:p>
    <w:p>
      <w:r>
        <w:t xml:space="preserve">Das Nähere über die Beitragspflicht bestimmt das Bundesministerium der Justiz im Einvernehmen mit dem Bundesministerium für Digitales und Verkehr, dem Bundesministerium für Wirtschaft und Klimaschutz und dem Bundesministerium der Finanzen durch Rechtsverordnung mit Zustimmung des Bundesrates.</w:t>
      </w:r>
    </w:p>
    <w:p>
      <w:r>
        <w:rPr>
          <w:color w:val="555555"/>
          <w:sz w:val="17"/>
        </w:rPr>
        <w:t xml:space="preserve">Zitiervorschlag: § 23 PflVG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https://recht.nulegal.eu/gesetze/PflVG/23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