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PflVG — Ausnahmen von der Versicherungspflicht für bestimmte Halter</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 1 gilt nicht für</w:t>
      </w:r>
    </w:p>
    <w:p>
      <w:pPr>
        <w:ind w:left="420"/>
      </w:pPr>
      <w:r>
        <w:t xml:space="preserve">1. die Bundesrepublik Deutschland,</w:t>
      </w:r>
    </w:p>
    <w:p>
      <w:pPr>
        <w:ind w:left="420"/>
      </w:pPr>
      <w:r>
        <w:t xml:space="preserve">2. die Länder,</w:t>
      </w:r>
    </w:p>
    <w:p>
      <w:pPr>
        <w:ind w:left="420"/>
      </w:pPr>
      <w:r>
        <w:t xml:space="preserve">3. die Gemeinden mit mehr als einhunderttausend Einwohnern,</w:t>
      </w:r>
    </w:p>
    <w:p>
      <w:pPr>
        <w:ind w:left="420"/>
      </w:pPr>
      <w:r>
        <w:t xml:space="preserve">4. die Gemeindeverbände sowie Zweckverbände, denen ausschließlich Körperschaften des öffentlichen Rechts angehören,</w:t>
      </w:r>
    </w:p>
    <w:p>
      <w:pPr>
        <w:ind w:left="420"/>
      </w:pPr>
      <w:r>
        <w:t xml:space="preserve">5. juristische Personen, die von einem nach § 3 Absatz 1 Nummer 4 des Versicherungsaufsichtsgesetzes von der Versicherungsaufsicht freigestellten Haftpflichtschadenausgleich Deckung erhalten.</w:t>
      </w:r>
    </w:p>
    <w:p>
      <w:r>
        <w:t xml:space="preserve">(2) Die nach Absatz 1 Nrn. 1 bis 5 von der Versicherungspflicht befreiten Fahrzeughalter haben, sofern nicht auf Grund einer von ihnen abgeschlossenen und den Vorschriften dieses Gesetzes entsprechenden Versicherung Haftpflichtversicherungsschutz gewährt wird, bei Schäden der in § 1 bezeichneten Art für den Fahrer und die übrigen Personen, die durch eine auf Grund dieses Gesetzes abgeschlossene Haftpflichtversicherung Deckung erhalten würden, in gleicher Weise und in gleichem Umfang einzutreten wie ein Versicherer bei Bestehen einer solchen Haftpflichtversicherung. Die Verpflichtung beschränkt sich auf den Betrag der festgesetzten Mindestversicherungssummen. Wird ein Personen- oder Sachschaden verursacht, haftet der Fahrzeughalter im Verhältnis zu einem Dritten auch, wenn der Fahrer den Eintritt der Tatsache, für die er dem Dritten verantwortlich ist, vorsätzlich und widerrechtlich herbeigeführt hat. § 12 Absatz 1 Satz 2 bis 4 gilt in diesem Fall entsprechend. Die Vorschriften der §§ 100 bis 124 des Versicherungsvertragsgesetzes sowie der §§ 3 und 5a Absatz 2 sowie die Kraftfahrzeug-Pflichtversicherungsverordnung sind sinngemäß anzuwenden. Erfüllt der Fahrzeughalter Verpflichtungen nach Satz 1, so kann er in sinngemäßer Anwendung der §§ 116 und 124 des Versicherungsvertragsgesetzes Ersatz der aufgewendeten Beträge verlangen, wenn bei Bestehen einer Versicherung der Versicherer gegenüber dem Fahrer oder der sonstigen mitversicherten Person leistungsfrei gewesen wäre; im übrigen ist der Rückgriff des Halters gegenüber diesen Personen ausgeschlossen.</w:t>
      </w:r>
    </w:p>
    <w:p>
      <w:r>
        <w:rPr>
          <w:color w:val="555555"/>
          <w:sz w:val="17"/>
        </w:rPr>
        <w:t xml:space="preserve">Zitiervorschlag: § 2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