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PflVG — Begriffsbestimmungen</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Im Sinne dieses Gesetzes bezeichnet</w:t>
      </w:r>
    </w:p>
    <w:p>
      <w:pPr>
        <w:ind w:left="420"/>
      </w:pPr>
      <w:r>
        <w:t xml:space="preserve">1. „Fahrzeug“</w:t>
      </w:r>
    </w:p>
    <w:p>
      <w:pPr>
        <w:ind w:left="780"/>
      </w:pPr>
      <w:r>
        <w:t xml:space="preserve">a) jedes Kraftfahrzeug, das ausschließlich maschinell an Land angetrieben wird, jedoch nicht auf Schienen fährt und dessen durch die Bauart bedingte Höchstgeschwindigkeit 6 Kilometer pro Stunde übersteigt,</w:t>
      </w:r>
    </w:p>
    <w:p>
      <w:pPr>
        <w:ind w:left="780"/>
      </w:pPr>
      <w:r>
        <w:t xml:space="preserve">b) jedes Landfahrzeug, das durch Muskelkraft fortbewegt wird und mit einem elektromotorischen Hilfsantrieb ausgestattet ist, sofern es unter Berücksichtigung des § 1 Absatz 2 und 3 des Straßenverkehrsgesetzes als Kraftfahrzeug anzusehen ist,</w:t>
      </w:r>
    </w:p>
    <w:p>
      <w:pPr>
        <w:ind w:left="780"/>
      </w:pPr>
      <w:r>
        <w:t xml:space="preserve">c) jeden Anhänger, der mit einem in Buchstabe a genannten Fahrzeug zu verwenden ist, unabhängig davon, ob er angekuppelt oder abgekuppelt ist;</w:t>
      </w:r>
    </w:p>
    <w:p>
      <w:pPr>
        <w:ind w:left="420"/>
      </w:pPr>
      <w:r>
        <w:t xml:space="preserve">2. „regelmäßiger Standort“ den regelmäßigen Standort im Sinne des § 46 Absatz 1 Satz 1, Absatz 2 und Absatz 3 Satz 1 der Fahrzeug-Zulassungsverordnung;</w:t>
      </w:r>
    </w:p>
    <w:p>
      <w:pPr>
        <w:ind w:left="420"/>
      </w:pPr>
      <w:r>
        <w:t xml:space="preserve">3. „Staaten des Europäischen Wirtschaftsraums“ die Mitgliedstaaten der Europäischen Union sowie die anderen Vertragsstaaten des Abkommens über den Europäischen Wirtschaftsraum;</w:t>
      </w:r>
    </w:p>
    <w:p>
      <w:pPr>
        <w:ind w:left="420"/>
      </w:pPr>
      <w:r>
        <w:t xml:space="preserve">4. „Herkunftsstaat“ denjenigen Staat des Europäischen Wirtschaftsraums, in dem ein Versicherungsunternehmen seinen Sitz hat;</w:t>
      </w:r>
    </w:p>
    <w:p>
      <w:pPr>
        <w:ind w:left="420"/>
      </w:pPr>
      <w:r>
        <w:t xml:space="preserve">5. „Drittstaaten“ alle Staaten, die nicht Staaten des Europäischen Wirtschaftsraums sind;</w:t>
      </w:r>
    </w:p>
    <w:p>
      <w:pPr>
        <w:ind w:left="420"/>
      </w:pPr>
      <w:r>
        <w:t xml:space="preserve">6. „nationales Versicherungsbüro“ ein nationales Versicherungsbüro im Sinne des Artikels 1 Nummer 3 der Richtlinie 2009/103/EG des Europäischen Parlaments und des Rates vom 16. September 2009 über die Kraftfahrzeug-Haftpflichtversicherung und die Kontrolle der entsprechenden Versicherungspflicht (ABl. L 263 vom 7.10.2009, S. 11), die durch die Richtlinie (EU) 2021/2118 (ABl. L 430 vom 2.12.2021, S. 1) geändert worden ist;</w:t>
      </w:r>
    </w:p>
    <w:p>
      <w:pPr>
        <w:ind w:left="420"/>
      </w:pPr>
      <w:r>
        <w:t xml:space="preserve">7. „Deutsches Büro Grüne Karte“ den rechtsfähigen Verein „Deutsches Büro Grüne Karte eingetragener Verein“ oder im Falle eines Zuständigkeitswechsels den jeweiligen Rechtsträger des deutschen nationalen Versicherungsbüros.</w:t>
      </w:r>
    </w:p>
    <w:p>
      <w:r>
        <w:t xml:space="preserve">(2) Im Sinne dieses Gesetzes bezeichnet „Staat, in dem das Fahrzeug seinen gewöhnlichen Standort hat“</w:t>
      </w:r>
    </w:p>
    <w:p>
      <w:pPr>
        <w:ind w:left="420"/>
      </w:pPr>
      <w:r>
        <w:t xml:space="preserve">1. den Staat, dessen amtliches Kennzeichen das Fahrzeug trägt, unabhängig davon, ob es sich um ein endgültiges oder vorläufiges Kennzeichen handelt,</w:t>
      </w:r>
    </w:p>
    <w:p>
      <w:pPr>
        <w:ind w:left="420"/>
      </w:pPr>
      <w:r>
        <w:t xml:space="preserve">2. sofern es für eine Fahrzeugart keine Zulassung gibt, das betreffende Fahrzeug jedoch eine Versicherungsplakette oder ein dem amtlichen Kennzeichen ähnliches Unterscheidungszeichen trägt, den Staat, in dem diese Plakette oder dieses Unterscheidungszeichen verliehen wurde, oder,</w:t>
      </w:r>
    </w:p>
    <w:p>
      <w:pPr>
        <w:ind w:left="420"/>
      </w:pPr>
      <w:r>
        <w:t xml:space="preserve">3. sofern es für bestimmte Fahrzeugarten weder eine Zulassung noch eine Versicherungsplakette noch ein unterscheidendes Kennzeichen gibt, den Staat, in dem der Fahrzeughalter seinen Wohnsitz hat.</w:t>
      </w:r>
    </w:p>
    <w:p>
      <w:r>
        <w:t xml:space="preserve">Für die Zwecke der Schadenregulierung gemäß Artikel 10 der Richtlinie 2009/103/EG und der Schadenregulierung durch die nationalen Versicherungsbüros gilt jedoch abweichend von Satz 1 bei einem Fahrzeug, das in einen Unfall verwickelt wurde und das kein amtliches Kennzeichen trägt oder ein amtliches Kennzeichen trägt, das ihm nicht oder nicht mehr zugeordnet ist, der Staat, in dem sich der Unfall ereignet hat, als Staat, in dem das Fahrzeug seinen gewöhnlichen Standort hat.</w:t>
      </w:r>
    </w:p>
    <w:p>
      <w:r>
        <w:t xml:space="preserve">(3) Im Sinne dieses Gesetzes umfasst der Gebrauch eines Fahrzeugs insbesondere jede Verwendung des Fahrzeugs, die seiner Funktion als Beförderungsmittel zum Zeitpunkt eines Unfalls entspricht, unabhängig von</w:t>
      </w:r>
    </w:p>
    <w:p>
      <w:pPr>
        <w:ind w:left="420"/>
      </w:pPr>
      <w:r>
        <w:t xml:space="preserve">1. den Merkmalen des Fahrzeugs,</w:t>
      </w:r>
    </w:p>
    <w:p>
      <w:pPr>
        <w:ind w:left="420"/>
      </w:pPr>
      <w:r>
        <w:t xml:space="preserve">2. dem Gelände, auf dem das Fahrzeug verwendet wird, und</w:t>
      </w:r>
    </w:p>
    <w:p>
      <w:pPr>
        <w:ind w:left="420"/>
      </w:pPr>
      <w:r>
        <w:t xml:space="preserve">3. der Tatsache, ob es sich in Bewegung befindet oder nicht.</w:t>
      </w:r>
    </w:p>
    <w:p>
      <w:r>
        <w:rPr>
          <w:color w:val="555555"/>
          <w:sz w:val="17"/>
        </w:rPr>
        <w:t xml:space="preserve">Zitiervorschlag: § 1a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