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PflVG — Erstattungspflicht des Entschädigungsfonds, Forderungsübergang und Rückgriff</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Der Entschädigungsfonds ist verpflichtet, einem Entschädigungsfonds im Sinne des Artikels 10 Absatz 1 der Richtlinie 2009/103/EG eines anderen Staates des Europäischen Wirtschaftsraums denjenigen Betrag zu erstatten, den dieser als Entschädigung wegen eines Personen- oder Sachschadens zahlt, der auf dem Gebiet dieses Staates durch ein Fahrzeug verursacht wurde, dessen Halter nach § 2a Absatz 1 oder 2 von der Versicherungspflicht befreit ist.</w:t>
      </w:r>
    </w:p>
    <w:p>
      <w:r>
        <w:t xml:space="preserve">(2) Soweit ein Entschädigungsfonds im Sinne des Artikels 10 Absatz 1 der Richtlinie 2009/103/EG einem anderen solchen Entschädigungsfonds einen Betrag erstattet, den dieser als Entschädigung wegen eines Personen- oder Sachschadens gezahlt hat, der auf dem Gebiet dieses Staates durch ein Fahrzeug verursacht wurde, das nach einer in Umsetzung des Artikels 5 Absatz 2 bis 5 der Richtlinie 2009/103/EG erlassenen Bestimmung eines anderen Staates des Europäischen Wirtschaftsraums nicht der Versicherungspflicht unterliegt, gehen die auf den erstattungsberechtigten Entschädigungsfonds übergegangenen Ansprüche des Geschädigten gegen den Versicherer des Fahrzeugs und sonstige Ersatzpflichtige auf den erstattenden Entschädigungsfonds über.</w:t>
      </w:r>
    </w:p>
    <w:p>
      <w:r>
        <w:t xml:space="preserve">(3) Handelt es sich bei dem Fahrzeug nicht um ein Fahrzeug im Sinne des Artikels 1 Nummer 1 der Richtlinie 2009/103/EG, so richtet sich der Rückgriff unter den Entschädigungsfonds der Staaten des Europäischen Wirtschaftsraums allein nach den zwischen den Entschädigungsfonds getroffenen Vereinbarungen.</w:t>
      </w:r>
    </w:p>
    <w:p>
      <w:r>
        <w:rPr>
          <w:color w:val="555555"/>
          <w:sz w:val="17"/>
        </w:rPr>
        <w:t xml:space="preserve">Zitiervorschlag: § 14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