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PflVG — Leistungspflicht des Entschädigungsfonds</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Wird durch den Gebrauch eines Fahrzeugs im Inland ein Personen- oder Sachschaden verursacht, so kann derjenige, dem wegen dieser Schäden Ersatzansprüche gegen eine in § 4 Absatz 3 genannte Person zustehen, diese Ersatzansprüche auch gegen den „Entschädigungsfonds für Schäden aus Fahrzeugunfällen“ (Entschädigungsfonds) geltend machen,</w:t>
      </w:r>
    </w:p>
    <w:p>
      <w:pPr>
        <w:ind w:left="420"/>
      </w:pPr>
      <w:r>
        <w:t xml:space="preserve">1. wenn das Fahrzeug, durch dessen Gebrauch der Schaden verursacht worden ist, nicht ermittelt werden kann,</w:t>
      </w:r>
    </w:p>
    <w:p>
      <w:pPr>
        <w:ind w:left="420"/>
      </w:pPr>
      <w:r>
        <w:t xml:space="preserve">2. wenn die auf Grund eines Gesetzes erforderliche Haftpflichtversicherung für das Fahrzeug nicht besteht,</w:t>
      </w:r>
    </w:p>
    <w:p>
      <w:pPr>
        <w:ind w:left="420"/>
      </w:pPr>
      <w:r>
        <w:t xml:space="preserve">3. wenn für den Schaden, der durch den Gebrauch des ermittelten oder nicht ermittelten Fahrzeugs verursacht worden ist, eine Haftpflichtversicherung deswegen keine Deckung gewährt oder gewähren würde, weil der Ersatzpflichtige den Eintritt der Tatsache, für die er dem Ersatzberechtigten verantwortlich ist, vorsätzlich und widerrechtlich herbeigeführt hat,</w:t>
      </w:r>
    </w:p>
    <w:p>
      <w:pPr>
        <w:ind w:left="420"/>
      </w:pPr>
      <w:r>
        <w:t xml:space="preserve">4. wenn der Halter des Fahrzeugs nach § 2a Absatz 1 Nummer 1 oder 2 von der Versicherungspflicht befreit ist,</w:t>
      </w:r>
    </w:p>
    <w:p>
      <w:pPr>
        <w:ind w:left="420"/>
      </w:pPr>
      <w:r>
        <w:t xml:space="preserve">5. wenn der Halter des Fahrzeugs nach § 2a Absatz 1 Nummer 3 oder Absatz 2 von der Versicherungspflicht befreit ist und das Fahrzeug im Zeitpunkt des Unfalls entgegen § 6 Absatz 2 außerhalb eines hierfür zulässigen Gebiets gebraucht wurde oder</w:t>
      </w:r>
    </w:p>
    <w:p>
      <w:pPr>
        <w:ind w:left="420"/>
      </w:pPr>
      <w:r>
        <w:t xml:space="preserve">6. wenn das Fahrzeug nach einer in Umsetzung des Artikels 5 Absatz 2 bis 5 der Richtlinie 2009/103/EG erlassenen Bestimmung eines anderen Staates des Europäischen Wirtschaftsraums nicht der Versicherungspflicht unterliegt.</w:t>
      </w:r>
    </w:p>
    <w:p>
      <w:r>
        <w:t xml:space="preserve">Das gilt nur, soweit der Ersatzberechtigte glaubhaft macht, dass er weder von dem Halter, dem Eigentümer oder dem Fahrer des Fahrzeugs noch von einem Schadensversicherer oder vom Deutschen Büro Grüne Karte Ersatz seines Schadens zu erlangen vermag. Die Leistungspflicht des Entschädigungsfonds entfällt, soweit der Ersatzberechtigte in der Lage ist, Ersatz seines Schadens nach den Vorschriften über die Amtspflichtverletzung zu erlangen, oder soweit der Schaden durch Leistungen eines Sozialversicherungsträgers, durch Fortzahlung von Dienst- oder Amtsbezügen, Vergütung oder Lohn oder durch Gewährung von Versorgungsbezügen ausgeglichen wird. Im Falle einer fahrlässigen Amtspflichtverletzung geht abweichend von § 839 Abs. 1 Satz 2 des Bürgerlichen Gesetzbuches die Ersatzpflicht auf Grund der Vorschriften über die Amtspflichtverletzung der Leistungspflicht des Entschädigungsfonds vor. Die Leistungspflicht des Entschädigungsfonds entfällt ferner bei Ansprüchen des Bundes, der Länder, der Gemeinden und der Gemeindeverbände als Straßenbaulastträger. Satz 1 Nummer 4 bis 6 ist nicht anzuwenden auf den erlaubten Gebrauch eines Fahrzeugs nach § 6 Absatz 3 Nummer 2.</w:t>
      </w:r>
    </w:p>
    <w:p>
      <w:r>
        <w:t xml:space="preserve">(2) In den Fällen des Absatzes 1 Satz 1 Nummer 1 können gegen den Entschädigungsfonds Ansprüche nach § 253 Absatz 2 des Bürgerlichen Gesetzbuchs nur geltend gemacht werden, wenn und soweit die Leistung einer Entschädigung wegen der besonderen Schwere der Verletzung zur Vermeidung einer groben Unbilligkeit erforderlich ist. Für Sachschäden beschränkt sich in den Fällen des Absatzes 1 Satz 1 Nr. 1 die Leistungspflicht des Entschädigungsfonds auf den Betrag, der 500 Euro übersteigt. Darüber hinaus können in den Fällen des Absatzes 1 Satz 1 Nummer 1 Ansprüche auf Ersatz folgender Sachschäden nur geltend gemacht werden, wenn der Entschädigungsfonds auf Grund desselben Ereignisses zur Leistung einer Entschädigung wegen der Tötung oder der erheblichen Verletzung des Körpers oder der Gesundheit einer Person verpflichtet ist oder eine solche Entschädigung geleistet hat:</w:t>
      </w:r>
    </w:p>
    <w:p>
      <w:pPr>
        <w:ind w:left="420"/>
      </w:pPr>
      <w:r>
        <w:t xml:space="preserve">1. Sachschäden an einem Fahrzeug,</w:t>
      </w:r>
    </w:p>
    <w:p>
      <w:pPr>
        <w:ind w:left="420"/>
      </w:pPr>
      <w:r>
        <w:t xml:space="preserve">2. Sachschäden an folgenden Einrichtungen, einschließlich der mit diesen Einrichtungen verbundenen Sachen,</w:t>
      </w:r>
    </w:p>
    <w:p>
      <w:pPr>
        <w:ind w:left="780"/>
      </w:pPr>
      <w:r>
        <w:t xml:space="preserve">a) Einrichtungen des Bahnverkehrs,</w:t>
      </w:r>
    </w:p>
    <w:p>
      <w:pPr>
        <w:ind w:left="780"/>
      </w:pPr>
      <w:r>
        <w:t xml:space="preserve">b) Einrichtungen des Luftverkehrs,</w:t>
      </w:r>
    </w:p>
    <w:p>
      <w:pPr>
        <w:ind w:left="780"/>
      </w:pPr>
      <w:r>
        <w:t xml:space="preserve">c) Einrichtungen des Straßenverkehrs,</w:t>
      </w:r>
    </w:p>
    <w:p>
      <w:pPr>
        <w:ind w:left="780"/>
      </w:pPr>
      <w:r>
        <w:t xml:space="preserve">d) Einrichtungen des Verkehrs auf Binnenwasserstraßen,</w:t>
      </w:r>
    </w:p>
    <w:p>
      <w:pPr>
        <w:ind w:left="420"/>
      </w:pPr>
      <w:r>
        <w:t xml:space="preserve">3. Sachschäden an Einrichtungen der Energieversorgung oder</w:t>
      </w:r>
    </w:p>
    <w:p>
      <w:pPr>
        <w:ind w:left="420"/>
      </w:pPr>
      <w:r>
        <w:t xml:space="preserve">4. Sachschäden an Einrichtungen der Telekommunikation.</w:t>
      </w:r>
    </w:p>
    <w:p>
      <w:r>
        <w:t xml:space="preserve">(3) Der Anspruch des Ersatzberechtigten gegen den Entschädigungsfonds verjährt in drei Jahren. Die Verjährung beginnt mit dem Zeitpunkt, in dem der Ersatzberechtigte Kenntnis von den den Anspruch gegen den Entschädigungsfonds begründenden Umständen erlangt. Ist der Anspruch des Ersatzberechtigten bei dem Entschädigungsfonds angemeldet worden, so ist die Verjährung bis zum Eingang der schriftlichen Entscheidung des Entschädigungsfonds und, wenn die Stelle nach § 26 angerufen worden ist, des Einigungsvorschlags dieser Stelle gehemmt.</w:t>
      </w:r>
    </w:p>
    <w:p>
      <w:r>
        <w:t xml:space="preserve">(4) Im übrigen bestimmen sich Voraussetzungen und Umfang der Leistungspflicht des Entschädigungsfonds sowie die Pflichten des Ersatzberechtigten gegenüber dem Entschädigungsfonds nach den Vorschriften, die bei Bestehen einer auf Grund dieses Gesetzes abgeschlossenen Haftpflichtversicherung für das Verhältnis zwischen dem Versicherer und dem Dritten in dem Falle gelten, daß der Versicherer dem Versicherungsnehmer gegenüber von der Verpflichtung zur Leistung frei ist. § 3a ist entsprechend anzuwenden. In den Fällen des Absatzes 1 Satz 1 Nummer 2 und 3 haben die in § 4 Absatz 3 genannten Personen gegenüber dem Entschädigungsfonds die einen Versicherungsnehmer nach Eintritt des Versicherungsfalls gegenüber dem Versicherer treffenden Verpflichtungen zu erfüllen.</w:t>
      </w:r>
    </w:p>
    <w:p>
      <w:r>
        <w:t xml:space="preserve">(5) Leistungen an ausländische Staatsangehörige ohne festen Wohnsitz im Inland erbringt der Entschädigungsfonds nur bei Vorliegen der Gegenseitigkeit, soweit nicht unionsrechtliche oder völkerrechtliche Verpflichtungen der Bundesrepublik Deutschland dem entgegenstehen.</w:t>
      </w:r>
    </w:p>
    <w:p>
      <w:r>
        <w:t xml:space="preserve">(6) Der Entschädigungsfonds hat auch für Schäden einzutreten, die unter den Voraussetzungen des Absatzes 1 Satz 1 Nummer 1 einem deutschen Staatsangehörigen im Ausland entstehen,</w:t>
      </w:r>
    </w:p>
    <w:p>
      <w:pPr>
        <w:ind w:left="420"/>
      </w:pPr>
      <w:r>
        <w:t xml:space="preserve">1. wenn die Schäden nicht nach § 15 gegenüber der Entschädigungsstelle geltend gemacht werden können,</w:t>
      </w:r>
    </w:p>
    <w:p>
      <w:pPr>
        <w:ind w:left="420"/>
      </w:pPr>
      <w:r>
        <w:t xml:space="preserve">2. wenn in dem Staat, in dem sich der Unfall zugetragen hat, eine Stelle besteht, die Angehörigen dieses Staates in Fällen dieser Art Ersatz leistet, und</w:t>
      </w:r>
    </w:p>
    <w:p>
      <w:pPr>
        <w:ind w:left="420"/>
      </w:pPr>
      <w:r>
        <w:t xml:space="preserve">3. wenn und soweit deutsche Staatsangehörige von der Ersatzleistung durch diese Stelle ausgeschlossen sind.</w:t>
      </w:r>
    </w:p>
    <w:p>
      <w:r>
        <w:rPr>
          <w:color w:val="555555"/>
          <w:sz w:val="17"/>
        </w:rPr>
        <w:t xml:space="preserve">Zitiervorschlag: § 12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