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PflVG — Mitteilung der Daten für die Gemeinschaftsstatistik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Versicherungsunternehmen mit Sitz im Inland, die die Kraftfahrzeug-Haftpflichtversicherung nach diesem Gesetz betreiben, übermitteln der Aufsichtsbehörde die für die Führung der Statistik nach § 9 erforderlichen Daten.</w:t>
      </w:r>
    </w:p>
    <w:p>
      <w:r>
        <w:t xml:space="preserve">(2) Soweit Versicherungsunternehmen mit Sitz im Inland in anderen Staaten des Europäischen Wirtschaftsraums die Kraftfahrzeug-Haftpflichtversicherung betreiben, sind der Aufsichtsbehörde die in § 9 Abs. 1 Satz 2 genannten Angaben auch für jeden dieser Staaten gesondert mitzuteilen.</w:t>
      </w:r>
    </w:p>
    <w:p>
      <w:r>
        <w:rPr>
          <w:color w:val="555555"/>
          <w:sz w:val="17"/>
        </w:rPr>
        <w:t xml:space="preserve">Zitiervorschlag: § 10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