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PflStG (Bayern)</w:t>
      </w:r>
    </w:p>
    <w:p>
      <w:r>
        <w:rPr>
          <w:color w:val="555555"/>
          <w:sz w:val="18"/>
        </w:rPr>
        <w:t xml:space="preserve">Pflichtstückegesetz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PflStG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