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PflStG (Bayern) — Schlußbestimmungen, Inkrafttreten</w:t>
      </w:r>
    </w:p>
    <w:p>
      <w:r>
        <w:rPr>
          <w:color w:val="555555"/>
          <w:sz w:val="18"/>
        </w:rPr>
        <w:t xml:space="preserve">Pflichtstückegesetz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Dieses Gesetz tritt am 1. September 1986 in Kraft.</w:t>
      </w:r>
    </w:p>
    <w:p>
      <w:r>
        <w:t xml:space="preserve">(2) Gleichzeitig treten das Gesetz zum Schutze der Urheberrechte an literarischen Erzeugnissen und Werken der Kunst (BayRS 2240-1-K) und die Bekanntmachung über die Einlieferung von Verlagspflichtstücken vom 29. Januar 1927 (BayBSVK S. 145) außer Kraft.</w:t>
      </w:r>
    </w:p>
    <w:p>
      <w:r>
        <w:rPr>
          <w:color w:val="555555"/>
          <w:sz w:val="17"/>
        </w:rPr>
        <w:t xml:space="preserve">Zitiervorschlag: Art 5 PflStG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https://recht.nulegal.eu/gesetze/PflStG/5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