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PflStG (Bayern) — Entschädigung</w:t>
      </w:r>
    </w:p>
    <w:p>
      <w:r>
        <w:rPr>
          <w:color w:val="555555"/>
          <w:sz w:val="18"/>
        </w:rPr>
        <w:t xml:space="preserve">Pflichtstückegesetz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Ablieferungspflichtigen wird auf Antrag eine angemessene Entschädigung gewährt, wenn ihn die unentgeltliche Ablieferung wegen der hohen Herstellungskosten und der kleinen Auflage des Werks unzumutbar belastet.</w:t>
      </w:r>
    </w:p>
    <w:p>
      <w:r>
        <w:t xml:space="preserve">(2) Der Antrag ist spätestens mit Ablieferung des Werks bei der Bayerischen Staatsbibliothek zu stellen. Der Antrag ist zu begründen; insbesondere sind dabei Angaben über Herstellungskosten, Auflagenhöhe und Ladenpreis, gegebenenfalls Subskriptions-, Vorzugs- oder Abonnementspreis, zu machen.</w:t>
      </w:r>
    </w:p>
    <w:p>
      <w:r>
        <w:rPr>
          <w:color w:val="555555"/>
          <w:sz w:val="17"/>
        </w:rPr>
        <w:t xml:space="preserve">Zitiervorschlag: Art 4 PflStG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