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PflStG (Bayern) — Ausnahmen von der Ablieferung</w:t>
      </w:r>
    </w:p>
    <w:p>
      <w:r>
        <w:rPr>
          <w:color w:val="555555"/>
          <w:sz w:val="18"/>
        </w:rPr>
        <w:t xml:space="preserve">Pflichtstückegesetz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Den Bestimmungen dieses Gesetzes unterliegen nicht</w:t>
      </w:r>
    </w:p>
    <w:p>
      <w:r>
        <w:t xml:space="preserve">1. Texte, die von staatlichen Stellen und Behörden herausgegeben und nach den Bestimmungen über die Abgabe amtlicher Veröffentlichungen abgeliefert werden,</w:t>
      </w:r>
    </w:p>
    <w:p>
      <w:r>
        <w:t xml:space="preserve">2. bildliche Darstellungen auf Einzelblättern ohne Text (auch Mappen),</w:t>
      </w:r>
    </w:p>
    <w:p>
      <w:r>
        <w:t xml:space="preserve">3. Texte, die in einer geringeren Auflage als zehn Exemplare erscheinen, sofern es sich nicht um veröffentlichte Hochschul-Prüfungsarbeiten oder um Texte handelt, die einzeln auf Anforderung verlegt werden,</w:t>
      </w:r>
    </w:p>
    <w:p>
      <w:r>
        <w:t xml:space="preserve">4. Texte, die nur gewerblichen, geschäftlichen oder innerbetrieblichen Zwecken, der Verkehrsabwicklung oder dem häuslichen oder geselligen Leben dienen (Akzidenzdrucksachen), wie zum Beispiel Formulare, Preislisten, Werbedrucksachen, Gebrauchsanweisungen, Familienanzeigen; ferner Flugblätter und Plakate,</w:t>
      </w:r>
    </w:p>
    <w:p>
      <w:r>
        <w:t xml:space="preserve">5. Geschäfts-, Jahres- und Verwaltungsberichte, soweit sie nur unter Personen verbreitet werden, für die sie nach Gesetz oder Satzung bestimmt sind,</w:t>
      </w:r>
    </w:p>
    <w:p>
      <w:r>
        <w:t xml:space="preserve">6. Film- und Videoproduktionen,</w:t>
      </w:r>
    </w:p>
    <w:p>
      <w:r>
        <w:t xml:space="preserve">7. Offenlegungs-, Auslege- und Patentschriften.</w:t>
      </w:r>
    </w:p>
    <w:p>
      <w:r>
        <w:t xml:space="preserve">(2) Das Staatsministerium für Wissenschaft und Kunst kann weitere Gattungen von Texten von der Ablieferungspflicht ausnehmen, wenn an deren Sammlung und bibliographischer Aufzeichnung kein öffentliches Interesse besteht.</w:t>
      </w:r>
    </w:p>
    <w:p>
      <w:r>
        <w:rPr>
          <w:color w:val="555555"/>
          <w:sz w:val="17"/>
        </w:rPr>
        <w:t xml:space="preserve">Zitiervorschlag: Art 2 PflStG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https://recht.nulegal.eu/gesetze/PflStG/2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