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PflSchadORZV</w:t>
      </w:r>
    </w:p>
    <w:p>
      <w:r>
        <w:rPr>
          <w:color w:val="555555"/>
          <w:sz w:val="18"/>
        </w:rPr>
        <w:t xml:space="preserve">Pflanzenschadorganismenreferenzlaborzuweisungsverordnung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 Absatz 2 Nummer 2 des Pflanzenschutzgesetzes vom 6. Februar 2012 (BGBl. I S. 148, 1281), der zuletzt durch Artikel 375 Nummer 3 der Verordnung vom 31. August 2015 (BGBl. I S. 1474) geändert worden ist, verordnet das Bundesministerium für Ernährung und Landwirtschaft:</w:t>
      </w:r>
    </w:p>
    <w:p>
      <w:r>
        <w:rPr>
          <w:color w:val="555555"/>
          <w:sz w:val="17"/>
        </w:rPr>
        <w:t xml:space="preserve">Zitiervorschlag: Eingangsformel PflSchadORZV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https://recht.nulegal.eu/gesetze/PflSchadORZV/eingangsformel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