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PflSchadORZV</w:t>
      </w:r>
    </w:p>
    <w:p>
      <w:r>
        <w:rPr>
          <w:color w:val="555555"/>
          <w:sz w:val="18"/>
        </w:rPr>
        <w:t xml:space="preserve">Pflanzenschadorganismenreferenzlaborzuweisungsverordnung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Julius Kühn-Institut, Bundesforschungsinstitut für Kulturpflanzen, nimmt die Funktion eines nationalen Referenzlaboratoriums gemäß Artikel 100 Absatz 1 bis 5 der Verordnung (EU) 2017/625 mit den in Artikel 101 Absatz 1 der Verordnung (EU) 2017/625 in der jeweils geltenden Fassung beschriebenen Aufgaben für die in Artikel 1 der Delegierten Verordnung (EU) 2018/631 in der jeweils geltenden Fassung beschriebenen Bereiche wahr.</w:t>
      </w:r>
    </w:p>
    <w:p>
      <w:r>
        <w:rPr>
          <w:color w:val="555555"/>
          <w:sz w:val="17"/>
        </w:rPr>
        <w:t xml:space="preserve">Zitiervorschlag: § 1 PflSchadORZV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https://recht.nulegal.eu/gesetze/PflSchadORZV/1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