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PflSchV (Brandenburg) — Geschäftsordnung</w:t>
      </w:r>
    </w:p>
    <w:p>
      <w:r>
        <w:rPr>
          <w:color w:val="555555"/>
          <w:sz w:val="18"/>
        </w:rPr>
        <w:t xml:space="preserve">Pflegeversicherungs- 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Schiedsstelle kann sich eine Geschäftsordnung geben. Die Geschäftsordnung und deren Änderungen sind mit der Mehrheit von zwei Dritteln der Mitglieder zu beschließen. Sie werden mit Zustimmung der nach § 15 zuständigen Behörde wirksam.</w:t>
      </w:r>
    </w:p>
    <w:p>
      <w:r>
        <w:rPr>
          <w:color w:val="555555"/>
          <w:sz w:val="17"/>
        </w:rPr>
        <w:t xml:space="preserve">Zitiervorschlag: § 16 PflSchV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