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PflSchSaatgAnwendV</w:t>
      </w:r>
    </w:p>
    <w:p>
      <w:r>
        <w:rPr>
          <w:color w:val="555555"/>
          <w:sz w:val="18"/>
        </w:rPr>
        <w:t xml:space="preserve">Pflanzenschutz-Saatgutanwendungsverordnung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19 Absatz 2 und des § 32 Absatz 4 Nummer 1 des Pflanzenschutzgesetzes vom 6. Februar 2012 (BGBl. I S. 148, 1281), von denen § 19 Absatz 2 durch Artikel 375 Nummer 8 der Verordnung vom 31. August 2015 (BGBl. I S. 1474) und § 32 Absatz 4 durch Artikel 375 Nummer 14 der Verordnung vom 31. August 2015 (BGBl. I S. 1474) geändert worden sind,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PflSchSaatgAnwendV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https://recht.nulegal.eu/gesetze/PflSchSaatgAnwendV/eingangsformel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PflSchSaatgAnwendV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