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PflSchMV 2013</w:t>
      </w:r>
    </w:p>
    <w:p>
      <w:r>
        <w:rPr>
          <w:color w:val="555555"/>
          <w:sz w:val="18"/>
        </w:rPr>
        <w:t xml:space="preserve">Pflanzenschutzmittelverordnung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Ernährung, Landwirtschaft und Verbraucherschutz verordnet auf Grund</w:t>
      </w:r>
    </w:p>
    <w:p>
      <w:pPr>
        <w:ind w:left="420"/>
      </w:pPr>
      <w:r>
        <w:t xml:space="preserve">– des § 16 Absatz 4, des § 45 Absatz 6 und des § 46 Absatz 4 in Verbindung mit § 51 des Pflanzenschutzgesetzes vom 6. Februar 2012 (BGBl. I S. 148, 1281),</w:t>
      </w:r>
    </w:p>
    <w:p>
      <w:pPr>
        <w:ind w:left="420"/>
      </w:pPr>
      <w:r>
        <w:t xml:space="preserve">– des § 17 Absatz 5, des § 40 Absatz 1 Nummer 2 bis 4 und des § 42 Absatz 5 des Pflanzenschutzgesetzes vom 6. Februar 2012 (BGBl. I S. 148, 1281) im Einvernehmen mit den Bundesministerien für Wirtschaft und Technologie, Arbeit und Soziales und Umwelt, Naturschutz und Reaktorsicherheit und</w:t>
      </w:r>
    </w:p>
    <w:p>
      <w:pPr>
        <w:ind w:left="420"/>
      </w:pPr>
      <w:r>
        <w:t xml:space="preserve">– des § 64 Absatz 2 des Pflanzenschutzgesetzes vom 6. Februar 2012 (BGBl. I S. 148, 1281), im Einvernehmen mit den Bundesministerien für Wirtschaft und Technologie und Umwelt, Naturschutz und Reaktorsicherheit:</w:t>
      </w:r>
    </w:p>
    <w:p>
      <w:r>
        <w:rPr>
          <w:color w:val="555555"/>
          <w:sz w:val="17"/>
        </w:rPr>
        <w:t xml:space="preserve">Zitiervorschlag: Eingangsformel PflSchMV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https://recht.nulegal.eu/gesetze/PflSchMV%202013/eingangsformel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