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PflSchGebV — Inkrafttreten</w:t>
      </w:r>
    </w:p>
    <w:p>
      <w:r>
        <w:rPr>
          <w:color w:val="555555"/>
          <w:sz w:val="18"/>
        </w:rPr>
        <w:t xml:space="preserve">Pflanzenschutz-Gebührenverordnung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PflSchGebV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