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PflSchGebV — Aufhebung von Vorschriften</w:t>
      </w:r>
    </w:p>
    <w:p>
      <w:r>
        <w:rPr>
          <w:color w:val="555555"/>
          <w:sz w:val="18"/>
        </w:rPr>
        <w:t xml:space="preserve">Pflanzenschutz-Gebührenverordnung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Die Pflanzenschutzmittel-Gebührenverordnung in der Fassung der Bekanntmachung vom 9. März 2005 (BGBl. I S. 744), die zuletzt durch Artikel 2 der Verordnung vom 19. März 2009 (BGBl. I S. 648) geändert worden ist, wird aufgehoben.</w:t>
      </w:r>
    </w:p>
    <w:p>
      <w:r>
        <w:t xml:space="preserve">(2) Die Verordnung über die Kosten für die Zulassung und Genehmigung von Pflanzenschutzmitteln vom 7. Juli 2011 (BGBl. I S. 1358) wird aufgehoben.</w:t>
      </w:r>
    </w:p>
    <w:p>
      <w:r>
        <w:rPr>
          <w:color w:val="555555"/>
          <w:sz w:val="17"/>
        </w:rPr>
        <w:t xml:space="preserve">Zitiervorschlag: § 6 PflSchGebV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https://recht.nulegal.eu/gesetze/PflSchGebV/6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