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PflSchGebV — Ermäßigung und Befreiung von Gebühren und Auslagen</w:t>
      </w:r>
    </w:p>
    <w:p>
      <w:r>
        <w:rPr>
          <w:color w:val="555555"/>
          <w:sz w:val="18"/>
        </w:rPr>
        <w:t xml:space="preserve">Pflanzenschutz-Gebührenverordnung</w:t>
      </w:r>
    </w:p>
    <w:p>
      <w:r>
        <w:rPr>
          <w:color w:val="555555"/>
          <w:sz w:val="18"/>
        </w:rPr>
        <w:t xml:space="preserve">Historische Fassung: Stand 10.06.2019 bis 01.10.2021. Dies ist nicht die aktuelle Fassung.</w:t>
      </w:r>
    </w:p>
    <w:p>
      <w:r>
        <w:t xml:space="preserve">(1) Die nach Maßgabe der §§ 1 und 2 berechneten Gebühren sind auf Antrag des Gebühren- und Auslagenschuldners bis auf ein Viertel der berechneten Gebühr zu ermäßigen, wenn an der Zulassung oder der Erweiterung der Zulassung des Pflanzenschutzmittels, der Aufnahme des Wirkstoffs in die Verordnung über genehmigte Wirkstoffe nach Artikel 13 Absatz 4 der Verordnung (EG) Nr. 1107/2009 oder der Genehmigung der Anwendung des Pflanzenschutzmittels auf Flächen, die für die Allgemeinheit bestimmt sind, ein öffentliches Interesse besteht und ein angemessener wirtschaftlicher Nutzen im Sinne des Absatzes 4 für den Antragsteller nicht zu erwarten ist.</w:t>
      </w:r>
    </w:p>
    <w:p>
      <w:r>
        <w:t xml:space="preserve">(2) Von der Erhebung der Gebühren und Auslagen kann auf Antrag des Gebühren- und Auslagenschuldners ganz oder teilweise abgesehen werden, wenn an der Zulassung oder Erweiterung der Zulassung des Pflanzenschutzmittels, der Aufnahme des Wirkstoffs in die Verordnung über genehmigte Wirkstoffe nach Artikel 13 Absatz 4 in Verbindung mit Artikel 78 Absatz 3 der Verordnung (EG) Nr. 1107/2009 oder der Genehmigung der Anwendung des Pflanzenschutzmittels auf Flächen, die für die Allgemeinheit bestimmt sind, ein öffentliches Interesse besteht und hierbei der zu erwartende wirtschaftliche Nutzen im Verhältnis zu dem Entwicklungsaufwand besonders gering ist.</w:t>
      </w:r>
    </w:p>
    <w:p>
      <w:r>
        <w:t xml:space="preserve">(3) Ein öffentliches Interesse im Sinne der Absätze 1 und 2 an der Zulassung oder Erweiterung der Zulassung des Pflanzenschutzmittels, der Genehmigung eines Wirkstoffs nach der Verordnung (EG) Nr. 1107/2009 oder der Genehmigung der Anwendung des Pflanzenschutzmittels auf Flächen, die für die Allgemeinheit bestimmt sind, ist insbesondere dann anzunehmen, wenn das Pflanzenschutzmittel oder der Wirkstoff</w:t>
      </w:r>
    </w:p>
    <w:p>
      <w:pPr>
        <w:ind w:left="420"/>
      </w:pPr>
      <w:r>
        <w:t xml:space="preserve">1. für die Schließung von Bekämpfungslücken erforderlich ist,</w:t>
      </w:r>
    </w:p>
    <w:p>
      <w:pPr>
        <w:ind w:left="420"/>
      </w:pPr>
      <w:r>
        <w:t xml:space="preserve">2. zur Verwendung im ökologischen Landbau geeignet ist,</w:t>
      </w:r>
    </w:p>
    <w:p>
      <w:pPr>
        <w:ind w:left="420"/>
      </w:pPr>
      <w:r>
        <w:t xml:space="preserve">3. für die Bekämpfung eines Schadorganismus auf einer Fläche, die für die Allgemeinheit bestimmt ist, erforderlich ist, um eine weitere öffentliche Nutzung der Fläche zu ermöglichen oder zur Erhaltung von wertvollen Pflanzenbeständen oder</w:t>
      </w:r>
    </w:p>
    <w:p>
      <w:pPr>
        <w:ind w:left="420"/>
      </w:pPr>
      <w:r>
        <w:t xml:space="preserve">4. ein Wirkstoff oder ein Pflanzenschutzmittel mit geringem Risiko im Sinne des Artikels 22 oder des Artikels 47 der Verordnung (EG) Nr. 1107/2009 ist.</w:t>
      </w:r>
    </w:p>
    <w:p>
      <w:r>
        <w:t xml:space="preserve">(4) Bei der Bemessung des wirtschaftlichen Nutzens im Sinne der Absätze 1 und 2 sind insbesondere der Anbauumfang der betroffenen Kultur, das Gefährdungspotenzial eines Schaderregers, die Wahrscheinlichkeit des Auftretens des Schadorganismus und der zu erwartende Marktanteil des Wirkstoffs oder des Pflanzenschutzmittels zu berücksichtigen.</w:t>
      </w:r>
    </w:p>
    <w:p>
      <w:r>
        <w:t xml:space="preserve">(5) Im Falle der Erteilung einer Zulassung nach Artikel 53 der Verordnung (EG) Nr. 1107/2009 kann auf Antrag von der Erhebung einer Gebühr und von Auslagen abgesehen werden, wenn ihre Erhebung unbillig wäre.</w:t>
      </w:r>
    </w:p>
    <w:p>
      <w:r>
        <w:rPr>
          <w:color w:val="555555"/>
          <w:sz w:val="17"/>
        </w:rPr>
        <w:t xml:space="preserve">Zitiervorschlag: § 4 PflSchGebV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https://recht.nulegal.eu/gesetze/PflSchGebV/4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