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PflSchG 2012 — Eilverordnungen</w:t>
      </w:r>
    </w:p>
    <w:p>
      <w:r>
        <w:rPr>
          <w:color w:val="555555"/>
          <w:sz w:val="18"/>
        </w:rPr>
        <w:t xml:space="preserve">Pflanzenschutzgesetz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(1) Das Bundesministerium für Ernährung und Landwirtschaft kann bei Gefahr im Verzug Rechtsverordnungen nach § 8 Absatz 1, § 14 Absatz 1, § 19 Absatz 2, § 25 Absatz 3 oder § 32 Absatz 4, in den Fällen des § 6 Absatz 1 und 2 auch wenn es zur unverzüglichen Durchführung von Rechtsakten der Europäischen Gemeinschaft oder der Europäischen Union erforderlich ist, ohne Zustimmung des Bundesrates und ohne Einvernehmen der jeweils zu beteiligenden Bundesministerien erlassen.</w:t>
      </w:r>
    </w:p>
    <w:p>
      <w:r>
        <w:t xml:space="preserve">(2) Rechtsverordnungen nach Absatz 1 treten spätestens sechs Monate nach ihrem Inkrafttreten außer Kraft. Ihre Geltungsdauer kann nur mit Zustimmung des Bundesrates verlängert werden.</w:t>
      </w:r>
    </w:p>
    <w:p>
      <w:r>
        <w:rPr>
          <w:color w:val="555555"/>
          <w:sz w:val="17"/>
        </w:rPr>
        <w:t xml:space="preserve">Zitiervorschlag: § 72 PflSchG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https://recht.nulegal.eu/gesetze/PflSchG%202012/72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