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71 PflSchG 2012 — Besondere Vorschriften zur Bekämpfung der Reblaus</w:t>
      </w:r>
    </w:p>
    <w:p>
      <w:r>
        <w:rPr>
          <w:color w:val="555555"/>
          <w:sz w:val="18"/>
        </w:rPr>
        <w:t xml:space="preserve">Pflanzenschutzgesetz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Durch Rechtsverordnung des Bundesministeriums für Ernährung und Landwirtschaft mit Zustimmung des Bundesrates nach § 6 Absatz 1 wird die Bekämpfung der Reblaus (Daktulosphaira vitifoliae Fitch) geregelt. Darüber hinaus können, soweit es zur Bekämpfung des Schadorganismus erforderlich ist, die Länder</w:t>
      </w:r>
    </w:p>
    <w:p>
      <w:pPr>
        <w:ind w:left="420"/>
      </w:pPr>
      <w:r>
        <w:t xml:space="preserve">1. über Rechtsverordnungen nach § 6 Absatz 1 hinaus weitergehende Regelungen zur Bekämpfung der Reblaus treffen,</w:t>
      </w:r>
    </w:p>
    <w:p>
      <w:pPr>
        <w:ind w:left="420"/>
      </w:pPr>
      <w:r>
        <w:t xml:space="preserve">2. die Entschädigung für Maßnahmen zur Bekämpfung der Reblaus abweichend von § 54 Absatz 1 bis 3 regeln.</w:t>
      </w:r>
    </w:p>
    <w:p>
      <w:r>
        <w:rPr>
          <w:color w:val="555555"/>
          <w:sz w:val="17"/>
        </w:rPr>
        <w:t xml:space="preserve">Zitiervorschlag: § 71 PflSchG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https://recht.nulegal.eu/gesetze/PflSchG%202012/71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