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PflSchG 2012 — Unberührtheitsklausel</w:t>
      </w:r>
    </w:p>
    <w:p>
      <w:r>
        <w:rPr>
          <w:color w:val="555555"/>
          <w:sz w:val="18"/>
        </w:rPr>
        <w:t xml:space="preserve">Pflanzenschutzgesetz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</w:t>
      </w:r>
    </w:p>
    <w:p>
      <w:pPr>
        <w:ind w:left="420"/>
      </w:pPr>
      <w:r>
        <w:t xml:space="preserve">1. das Lebensmittel- und Futtermittelgesetzbuch,</w:t>
      </w:r>
    </w:p>
    <w:p>
      <w:pPr>
        <w:ind w:left="420"/>
      </w:pPr>
      <w:r>
        <w:t xml:space="preserve">2. das Bundes-Immissionsschutzgesetz,</w:t>
      </w:r>
    </w:p>
    <w:p>
      <w:pPr>
        <w:ind w:left="420"/>
      </w:pPr>
      <w:r>
        <w:t xml:space="preserve">3. das Chemikaliengesetz,</w:t>
      </w:r>
    </w:p>
    <w:p>
      <w:pPr>
        <w:ind w:left="420"/>
      </w:pPr>
      <w:r>
        <w:t xml:space="preserve">4. das Produktsicherheitsgesetz und</w:t>
      </w:r>
    </w:p>
    <w:p>
      <w:pPr>
        <w:ind w:left="420"/>
      </w:pPr>
      <w:r>
        <w:t xml:space="preserve">5. das Gentechnikgesetz</w:t>
      </w:r>
    </w:p>
    <w:p>
      <w:r>
        <w:t xml:space="preserve">sowie die auf diese Gesetze gestützten Rechtsverordnungen.</w:t>
      </w:r>
    </w:p>
    <w:p>
      <w:r>
        <w:rPr>
          <w:color w:val="555555"/>
          <w:sz w:val="17"/>
        </w:rPr>
        <w:t xml:space="preserve">Zitiervorschlag: § 70 PflSchG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https://recht.nulegal.eu/gesetze/PflSchG%202012/70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