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PflSchG 2012 — Geheimhaltung</w:t>
      </w:r>
    </w:p>
    <w:p>
      <w:r>
        <w:rPr>
          <w:color w:val="555555"/>
          <w:sz w:val="18"/>
        </w:rPr>
        <w:t xml:space="preserve">Pflanzenschutzgesetz</w:t>
      </w:r>
    </w:p>
    <w:p>
      <w:r>
        <w:rPr>
          <w:color w:val="555555"/>
          <w:sz w:val="18"/>
        </w:rPr>
        <w:t xml:space="preserve">Stand: 10.06.2019 (konsolidierte Textfassung, kein amtliches Inkrafttretensdatum)</w:t>
      </w:r>
    </w:p>
    <w:p>
      <w:r>
        <w:t xml:space="preserve">(1) Unbeschadet des Artikels 59 der Verordnung (EG) Nr. 1107/2009 dürfen Angaben, die das Bundesamt für Verbraucherschutz und Lebensmittelsicherheit im Rahmen der Verfahren zur Zulassung von Pflanzenschutzmitteln oder zur Genehmigung von Wirkstoffen, Safenern oder Synergisten erhalten hat und die nach Artikel 63 der Verordnung (EG) Nr. 1107/2009 vertraulich sind oder die ein sonstiges Betriebs- oder Geschäftsgeheimnis darstellen oder enthalten, soweit der Antragsteller oder der Zulassungsinhaber die Angaben als geheimhaltungsbedürftig kenntlich gemacht hat, von dem Bundesamt für Verbraucherschutz und Lebensmittelsicherheit nicht offenbart werden. Satz 1 gilt nicht, wenn das Bundesamt für Verbraucherschutz und Lebensmittelsicherheit im Einzelfall unter Berücksichtigung des Geheimhaltungsinteresses der Beteiligten ein überwiegendes öffentliches Interesse an der Offenbarung feststellt. Vor der Entscheidung über die Offenbarung der durch Satz 1 geschützten Informationen sind die Betroffenen anzuhören.</w:t>
      </w:r>
    </w:p>
    <w:p>
      <w:r>
        <w:t xml:space="preserve">(2) Nicht unter das Betriebs- und Geschäftsgeheimnis nach Absatz 1 fallen:</w:t>
      </w:r>
    </w:p>
    <w:p>
      <w:pPr>
        <w:ind w:left="420"/>
      </w:pPr>
      <w:r>
        <w:t xml:space="preserve">1. die in Artikel 57 der Verordnung (EG) Nr. 1107/2009 aufgeführten Angaben,</w:t>
      </w:r>
    </w:p>
    <w:p>
      <w:pPr>
        <w:ind w:left="420"/>
      </w:pPr>
      <w:r>
        <w:t xml:space="preserve">2. die physikalisch-chemischen Angaben zum Pflanzenschutzmittel und zum Wirkstoff,</w:t>
      </w:r>
    </w:p>
    <w:p>
      <w:pPr>
        <w:ind w:left="420"/>
      </w:pPr>
      <w:r>
        <w:t xml:space="preserve">3. die Zusammenfassung der Ergebnisse der Untersuchungen und Versuche zur Wirksamkeit und zu den Auswirkungen auf die Gesundheit von Mensch und Tier sowie den sonstigen Auswirkungen, insbesondere auf den Naturhaushalt,</w:t>
      </w:r>
    </w:p>
    <w:p>
      <w:pPr>
        <w:ind w:left="420"/>
      </w:pPr>
      <w:r>
        <w:t xml:space="preserve">4. Angaben zu Vorsichtsmaßnahmen sowie Sofortmaßnahmen bei Unfällen,</w:t>
      </w:r>
    </w:p>
    <w:p>
      <w:pPr>
        <w:ind w:left="420"/>
      </w:pPr>
      <w:r>
        <w:t xml:space="preserve">5. Analyseverfahren zur Bestimmung der Wirkstoffe, Beistoffe sowie Verunreinigungen, die als toxikologisch, ökotoxikologisch oder ökologisch relevant angesehen werden, und Rückstände im Sinne des Artikels 3 Nummer 1 der Verordnung (EG) Nr. 1107/2009,</w:t>
      </w:r>
    </w:p>
    <w:p>
      <w:pPr>
        <w:ind w:left="420"/>
      </w:pPr>
      <w:r>
        <w:t xml:space="preserve">6. Angaben über Verfahren zur sachgerechten Beseitigung oder Neutralisierung des Pflanzenschutzmittels, dessen Behältnis oder Verpackung sowie des Wirkstoffes.</w:t>
      </w:r>
    </w:p>
    <w:p>
      <w:r>
        <w:t xml:space="preserve">(3) Antragsteller und Zulassungsinhaber haben dem Bundesamt für Verbraucherschutz und Lebensmittelsicherheit unverzüglich die von ihnen veranlasste Veröffentlichung derjenigen Angaben und Unterlagen mitzuteilen, die sie zuvor nach Absatz 1 als geheimhaltungsbedürftig kenntlich gemacht haben.</w:t>
      </w:r>
    </w:p>
    <w:p>
      <w:r>
        <w:t xml:space="preserve">(4) Angaben, die das Bundesamt für Verbraucherschutz und Lebensmittelsicherheit im Rahmen der in den §§ 42, 45 oder § 46 genannten Verfahren erhalten hat, dürfen nicht offenbart werden, wenn es sich um Betriebs- oder Geschäftsgeheimnisse handelt oder derjenige, der die Angaben übermittelt hat, diese als vertraulich gekennzeichnet hat. Ausgenommen die Übermittlung von Daten nach § 21 Absatz 3 gilt Satz 1 entsprechend für Angaben, die das Julius Kühn-Institut im Rahmen seiner Aufgaben nach § 21 oder einer Prüfung nach § 52 erhalten hat. Absatz 1 Satz 2 und 3 gilt entsprechend.</w:t>
      </w:r>
    </w:p>
    <w:p>
      <w:r>
        <w:rPr>
          <w:color w:val="555555"/>
          <w:sz w:val="17"/>
        </w:rPr>
        <w:t xml:space="preserve">Zitiervorschlag: § 65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