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PflSchG 2012 — Auskunftspflicht</w:t>
      </w:r>
    </w:p>
    <w:p>
      <w:r>
        <w:rPr>
          <w:color w:val="555555"/>
          <w:sz w:val="18"/>
        </w:rPr>
        <w:t xml:space="preserve">Pflanzenschutzgesetz</w:t>
      </w:r>
    </w:p>
    <w:p>
      <w:r>
        <w:rPr>
          <w:color w:val="555555"/>
          <w:sz w:val="18"/>
        </w:rPr>
        <w:t xml:space="preserve">Stand: 01.01.2024 (konsolidierte Textfassung, kein amtliches Inkrafttretensdatum)</w:t>
      </w:r>
    </w:p>
    <w:p>
      <w:r>
        <w:t xml:space="preserve">(1) Natürliche und juristische Personen und sonstige Personenvereinigungen haben der zuständigen Behörde auf Verlangen die Auskünfte zu erteilen, die zur Durchführung der der jeweils zuständigen Behörde durch dieses Gesetz oder auf Grund dieses Gesetzes übertragenen Aufgaben erforderlich sind. Die zuständigen Behörden der Länder sind berechtigt, Einsicht zu nehmen in die in § 2 in Verbindung mit der Anlage des InVeKoS-Daten-Gesetzes genannten Daten, soweit es zur Überwachung der Einhaltung der Vorschriften dieses Gesetzes sowie der nach diesem Gesetz erlassenen Rechtsverordnungen erforderlich ist.</w:t>
      </w:r>
    </w:p>
    <w:p>
      <w:r>
        <w:t xml:space="preserve">(2) Personen, die von der zuständigen Behörde beauftragt sind, dürfen im Rahmen des Absatzes 1 Grundstücke, Geschäftsräume, Betriebsräume und Transportmittel des Auskunftspflichtigen während der Geschäfts- und Betriebszeit betreten und dort</w:t>
      </w:r>
    </w:p>
    <w:p>
      <w:pPr>
        <w:ind w:left="420"/>
      </w:pPr>
      <w:r>
        <w:t xml:space="preserve">1. Besichtigungen sowie Untersuchungen auf Schadorganismen vornehmen und Pflanzenschutzgeräte prüfen,</w:t>
      </w:r>
    </w:p>
    <w:p>
      <w:pPr>
        <w:ind w:left="420"/>
      </w:pPr>
      <w:r>
        <w:t xml:space="preserve">2. Proben, insbesondere Pflanzen, Pflanzenerzeugnisse oder Pflanzenschutzmittel, ohne Entgelt gegen Empfangsbescheinigung entnehmen und</w:t>
      </w:r>
    </w:p>
    <w:p>
      <w:pPr>
        <w:ind w:left="420"/>
      </w:pPr>
      <w:r>
        <w:t xml:space="preserve">3. geschäftliche Unterlagen einsehen;</w:t>
      </w:r>
    </w:p>
    <w:p>
      <w:r>
        <w:t xml:space="preserve">sie können dabei von Sachverständigen der Europäischen Kommission oder anderer Mitgliedstaaten begleitet werden. Zur Verhütung dringender Gefahren für die öffentliche Sicherheit und Ordnung dürfen die Grundstücke, Geschäftsräume, Betriebsräume und Transportmittel auch betreten werden, wenn sie zugleich Wohnzwecken des Auskunftspflichtigen dienen. Der Auskunftspflichtige hat die Maßnahmen zu dulden, die mit der Überwachung beauftragten Personen zu unterstützen und die geschäftlichen Unterlagen vorzulegen.</w:t>
      </w:r>
    </w:p>
    <w:p>
      <w:r>
        <w:t xml:space="preserve">(3) Die von der zuständigen Behörde mit der Durchführung von Überwachungs- und Bekämpfungsmaßnahmen nach § 6 Absatz 1 Nummer 4 beauftragten Personen dürfen im Rahmen ihres Auftrages tagsüber an Werktagen Grundstücke betreten und dort Überwachungs- und Bekämpfungsmaßnahmen durchführen. Der Verfügungsberechtigte oder Besitzer hat diese Maßnahmen zu dulden.</w:t>
      </w:r>
    </w:p>
    <w:p>
      <w:r>
        <w:t xml:space="preserve">(4) Das Grundrecht der Unverletzlichkeit der Wohnung (Artikel 13 des Grundgesetzes) wird im Rahmen der Absätze 2 und 3 eingeschränkt.</w:t>
      </w:r>
    </w:p>
    <w:p>
      <w:r>
        <w:t xml:space="preserve">(5) Der Auskunftspflichtige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w:t>
      </w:r>
    </w:p>
    <w:p>
      <w:r>
        <w:rPr>
          <w:color w:val="555555"/>
          <w:sz w:val="17"/>
        </w:rPr>
        <w:t xml:space="preserve">Zitiervorschlag: § 63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