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60 PflSchG 2012 — Behördliche Anordnungen</w:t>
      </w:r>
    </w:p>
    <w:p>
      <w:r>
        <w:rPr>
          <w:color w:val="555555"/>
          <w:sz w:val="18"/>
        </w:rPr>
        <w:t xml:space="preserve">Pflanzenschutzgesetz</w:t>
      </w:r>
    </w:p>
    <w:p>
      <w:r>
        <w:rPr>
          <w:color w:val="555555"/>
          <w:sz w:val="18"/>
        </w:rPr>
        <w:t xml:space="preserve">Stand: 10.06.2019 (konsolidierte Textfassung, kein amtliches Inkrafttretensdatum)</w:t>
      </w:r>
    </w:p>
    <w:p>
      <w:r>
        <w:t xml:space="preserve">Die zuständige Behörde kann im Einzelfall die Anordnungen treffen, die zur Beseitigung festgestellter oder zur Verhütung künftiger Verstöße gegen dieses Gesetz oder gegen die auf Grund dieses Gesetzes erlassenen Rechtsverordnungen notwendig sind. Sie kann insbesondere untersagen:</w:t>
      </w:r>
    </w:p>
    <w:p>
      <w:pPr>
        <w:ind w:left="420"/>
      </w:pPr>
      <w:r>
        <w:t xml:space="preserve">1. die Anwendung eines Pflanzenschutzmittels zur Verhütung von Verstößen gegen § 12 oder § 13 Absatz 1,</w:t>
      </w:r>
    </w:p>
    <w:p>
      <w:pPr>
        <w:ind w:left="420"/>
      </w:pPr>
      <w:r>
        <w:t xml:space="preserve">2. das Inverkehrbringen eines Pflanzenschutzmittels, wenn die erforderliche Zulassung oder Genehmigung nicht vorliegt, oder</w:t>
      </w:r>
    </w:p>
    <w:p>
      <w:pPr>
        <w:ind w:left="420"/>
      </w:pPr>
      <w:r>
        <w:t xml:space="preserve">3. die Einfuhr oder das innergemeinschaftliche Verbringen sowie das Verbringen im Inland oder das Verbringen in einen anderen Mitgliedstaat von Schadorganismen oder Befallsgegenständen.</w:t>
      </w:r>
    </w:p>
    <w:p>
      <w:r>
        <w:rPr>
          <w:color w:val="555555"/>
          <w:sz w:val="17"/>
        </w:rPr>
        <w:t xml:space="preserve">Zitiervorschlag: § 60 PflSchG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https://recht.nulegal.eu/gesetze/PflSchG%202012/60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