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PflSchG 2012 — Forderungsübergang</w:t>
      </w:r>
    </w:p>
    <w:p>
      <w:r>
        <w:rPr>
          <w:color w:val="555555"/>
          <w:sz w:val="18"/>
        </w:rPr>
        <w:t xml:space="preserve">Pflanzenschutzgesetz</w:t>
      </w:r>
    </w:p>
    <w:p>
      <w:r>
        <w:rPr>
          <w:color w:val="555555"/>
          <w:sz w:val="18"/>
        </w:rPr>
        <w:t xml:space="preserve">Stand: 10.06.2019 (konsolidierte Textfassung, kein amtliches Inkrafttretensdatum)</w:t>
      </w:r>
    </w:p>
    <w:p>
      <w:r>
        <w:t xml:space="preserve">Wird eine Entschädigung nach § 54 Absatz 1 oder 2 geleistet oder ein Ausgleich aus Anlass behördlich angeordneter Maßnahmen zur Bekämpfung oder Verhinderung der Verschleppung von Schadorganismen gewährt und beteiligt sich die Europäische Union an der Entschädigung oder dem Ausgleich, kann das Bundesministerium für Ernährung und Landwirtschaft, soweit es zur Durchführung von Rechtsakten der Europäischen Gemeinschaft oder der Europäischen Union erforderlich ist, durch Rechtsverordnung mit Zustimmung des Bundesrates vorschreiben, dass Forderungen auf Entschädigung oder Schadensersatz eines Entschädigungsberechtigten oder Ausgleichsberechtigten, die ihm gegen Dritte zustehen, auf die Europäische Union in Höhe der anteiligen Finanzierung der Entschädigung oder des Ausgleiches an diese übergehen. Nähere Einzelheiten des Forderungsüberganges und ein Forderungsübergang im Übrigen auf die Länder, insbesondere Umfang und Verfahren, können in der Rechtsverordnung nach Satz 1 geregelt werden.</w:t>
      </w:r>
    </w:p>
    <w:p>
      <w:r>
        <w:rPr>
          <w:color w:val="555555"/>
          <w:sz w:val="17"/>
        </w:rPr>
        <w:t xml:space="preserve">Zitiervorschlag: § 55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