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PflSchG 2012 — Betriebsanleitung</w:t>
      </w:r>
    </w:p>
    <w:p>
      <w:r>
        <w:rPr>
          <w:color w:val="555555"/>
          <w:sz w:val="18"/>
        </w:rPr>
        <w:t xml:space="preserve">Pflanzenschutzgesetz</w:t>
      </w:r>
    </w:p>
    <w:p>
      <w:r>
        <w:rPr>
          <w:color w:val="555555"/>
          <w:sz w:val="18"/>
        </w:rPr>
        <w:t xml:space="preserve">Stand: 05.08.2021 (konsolidierte Textfassung, kein amtliches Inkrafttretensdatum)</w:t>
      </w:r>
    </w:p>
    <w:p>
      <w:r>
        <w:t xml:space="preserve">Erfüllt das Pflanzenschutzgerät besondere Anforderungen im Sinne des § 52 Absatz 1, ist der Hersteller oder Inverkehrbringer verpflichtet, in der Betriebsanleitung, ergänzend zu den durch die auf § 8 des Produktsicherheitsgesetzes vom 27. Juli 2021 (BGBl. I S. 3146) beruhenden Verordnung über das Inverkehrbringen von Maschinen geforderten Angaben, auf diese Anforderungen und die jeweils einzuhaltenden Betriebsbedingungen hinzuweisen.</w:t>
      </w:r>
    </w:p>
    <w:p>
      <w:r>
        <w:rPr>
          <w:color w:val="555555"/>
          <w:sz w:val="17"/>
        </w:rPr>
        <w:t xml:space="preserve">Zitiervorschlag: § 53 PflSchG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https://recht.nulegal.eu/gesetze/PflSchG%202012/53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