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PflSchG 2012 — Prüfung</w:t>
      </w:r>
    </w:p>
    <w:p>
      <w:r>
        <w:rPr>
          <w:color w:val="555555"/>
          <w:sz w:val="18"/>
        </w:rPr>
        <w:t xml:space="preserve">Pflanzenschutzgesetz</w:t>
      </w:r>
    </w:p>
    <w:p>
      <w:r>
        <w:rPr>
          <w:color w:val="555555"/>
          <w:sz w:val="18"/>
        </w:rPr>
        <w:t xml:space="preserve">Stand: 10.06.2019 (konsolidierte Textfassung, kein amtliches Inkrafttretensdatum)</w:t>
      </w:r>
    </w:p>
    <w:p>
      <w:r>
        <w:t xml:space="preserve">(1) Das Julius Kühn-Institut kann auf Antrag des Herstellers oder Inverkehrbringers Pflanzenschutzgeräte daraufhin prüfen, ob sie den Anforderungen nach § 16 entsprechen oder ob sie bestimmte über die allgemeinen Anforderungen nach § 16 hinausgehende Eigenschaften haben, insbesondere hinsichtlich der Verminderung der Abdrift oder des Verbrauches an Pflanzenschutzmitteln.</w:t>
      </w:r>
    </w:p>
    <w:p>
      <w:r>
        <w:t xml:space="preserve">(2) Das Julius Kühn-Institut führt eine beschreibende Liste der geprüften Gerätetypen und der besonderen Anforderungen, die sie erfüllen, und macht die Liste im Bundesanzeiger oder im elektronischen Bundesanzeiger bekannt.</w:t>
      </w:r>
    </w:p>
    <w:p>
      <w:r>
        <w:t xml:space="preserve">(3) Eine Prüfung auf besondere Anforderungen kann auch durch eine andere Prüfstelle durchgeführt werden, wenn die Prüfstelle über die geeigneten Einrichtungen für eine solche Prüfung und sachkundiges Personal verfügt und vom Julius Kühn-Institut anerkannt ist.</w:t>
      </w:r>
    </w:p>
    <w:p>
      <w:r>
        <w:t xml:space="preserve">(4) Das Bundesministerium für Ernährung und Landwirtschaft wird ermächtigt, durch Rechtsverordnung ohne Zustimmung des Bundesrates, das Verfahren der freiwilligen Prüfung von Pflanzenschutzgeräten nach Absatz 1 sowie die Anerkennung von Prüfstellen nach Absatz 3 zu regeln.</w:t>
      </w:r>
    </w:p>
    <w:p>
      <w:r>
        <w:rPr>
          <w:color w:val="555555"/>
          <w:sz w:val="17"/>
        </w:rPr>
        <w:t xml:space="preserve">Zitiervorschlag: § 52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