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PflSchG 2012 — Pflichten des Inhabers der Genehmigung für den Parallelhandel</w:t>
      </w:r>
    </w:p>
    <w:p>
      <w:r>
        <w:rPr>
          <w:color w:val="555555"/>
          <w:sz w:val="18"/>
        </w:rPr>
        <w:t xml:space="preserve">Pflanzenschutzgesetz</w:t>
      </w:r>
    </w:p>
    <w:p>
      <w:r>
        <w:rPr>
          <w:color w:val="555555"/>
          <w:sz w:val="18"/>
        </w:rPr>
        <w:t xml:space="preserve">Stand: 10.06.2019 (konsolidierte Textfassung, kein amtliches Inkrafttretensdatum)</w:t>
      </w:r>
    </w:p>
    <w:p>
      <w:r>
        <w:t xml:space="preserve">(1) Der Inhaber einer Genehmigung nach Artikel 52 der Verordnung (EG) Nr. 1107/2009 ist verpflichtet, Rechnungen, Kaufbelege und Lieferscheine, die das parallelgehandelte Pflanzenschutzmittel betreffen, für die Dauer von fünf Jahren, gerechnet ab dem Beginn des Jahres, das auf das Jahr des Entstehens dieser Unterlagen folgt, aufzubewahren. In den in Satz 1 genannten Unterlagen dürfen keine Angaben entfernt, unkenntlich gemacht, überdeckt oder unterdrückt werden.</w:t>
      </w:r>
    </w:p>
    <w:p>
      <w:r>
        <w:t xml:space="preserve">(2) Das Bundesamt für Verbraucherschutz und Lebensmittelsicherheit kann vom Inhaber der Genehmigung zum Nachweis des fortdauernden Vorliegens der Voraussetzungen der Genehmigung innerhalb bestimmter Fristen</w:t>
      </w:r>
    </w:p>
    <w:p>
      <w:pPr>
        <w:ind w:left="420"/>
      </w:pPr>
      <w:r>
        <w:t xml:space="preserve">1. Proben des parallel einzuführenden Pflanzenschutzmittels,</w:t>
      </w:r>
    </w:p>
    <w:p>
      <w:pPr>
        <w:ind w:left="420"/>
      </w:pPr>
      <w:r>
        <w:t xml:space="preserve">2. eine Vergleichsuntersuchung im Sinne des § 46 Absatz 2 sowie Unterlagen, zu denen er Zugang hat, oder deren Beschaffung ihm zugemutet werden kann,</w:t>
      </w:r>
    </w:p>
    <w:p>
      <w:r>
        <w:t xml:space="preserve">nachfordern, soweit neue Erkenntnisse eine Überprüfung der Genehmigung erfordern. Besteht der Verdacht eines Missbrauchs im Sinne des § 50 Absatz 2 Satz 1 Nummer 2, kann das Bundesamt für Verbraucherschutz und Lebensmittelsicherheit die Vorlage der in Absatz 1 Satz 1 genannten Unterlagen vom Inhaber der Genehmigung fordern.</w:t>
      </w:r>
    </w:p>
    <w:p>
      <w:r>
        <w:t xml:space="preserve">(3) Erfährt der Inhaber der Genehmigung zum Parallelhandel von neuen Erkenntnissen über das von ihm in Verkehr gebrachte Pflanzenschutzmittel hinsichtlich der Auswirkungen des Pflanzenschutzmittels auf die Gesundheit von Mensch und Tier sowie den Naturhaushalt, ist er verpflichtet, dies unverzüglich dem Bundesamt für Verbraucherschutz und Lebensmittelsicherheit anzuzeigen. Der Anzeige sind die Angaben, Unterlagen und Proben beizufügen, aus denen sich die neuen Erkenntnisse ergeben.</w:t>
      </w:r>
    </w:p>
    <w:p>
      <w:r>
        <w:t xml:space="preserve">(4) Verwendet der Inhaber der Genehmigung für die Kennzeichnung nach § 47 Absatz 1 nicht die Chargennummer des Zulassungsinhabers des parallel einzuführenden Pflanzenschutzmittels, so hat er Aufzeichnungen zu führen und für die Dauer von mindestens fünf Jahren aufzubewahren, aus denen sich die Entsprechung der von ihm verwendeten Chargennummer mit denen des Zulassungsinhabers des parallel einzuführenden Pflanzenschutzmittels ergibt. Er hat diese Aufzeichnung auf Verlangen dem Bundesamt für Verbraucherschutz und Lebensmittelsicherheit zugänglich zu machen, wenn der Verdacht eines Missbrauchs im Sinne des § 50 Absatz 2 Satz 1 Nummer 2 besteht.</w:t>
      </w:r>
    </w:p>
    <w:p>
      <w:r>
        <w:rPr>
          <w:color w:val="555555"/>
          <w:sz w:val="17"/>
        </w:rPr>
        <w:t xml:space="preserve">Zitiervorschlag: § 49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