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PflSchG 2012 — Kennzeichnung parallelgehandelter Pflanzenschutzmittel</w:t>
      </w:r>
    </w:p>
    <w:p>
      <w:r>
        <w:rPr>
          <w:color w:val="555555"/>
          <w:sz w:val="18"/>
        </w:rPr>
        <w:t xml:space="preserve">Pflanzenschutzgesetz</w:t>
      </w:r>
    </w:p>
    <w:p>
      <w:r>
        <w:rPr>
          <w:color w:val="555555"/>
          <w:sz w:val="18"/>
        </w:rPr>
        <w:t xml:space="preserve">Stand: 10.06.2019 (konsolidierte Textfassung, kein amtliches Inkrafttretensdatum)</w:t>
      </w:r>
    </w:p>
    <w:p>
      <w:r>
        <w:t xml:space="preserve">(1) Ein parallelgehandeltes Pflanzenschutzmittel darf nur in Verkehr gebracht werden, wenn es nach § 31 Absatz 1 und 2, jeweils auch in Verbindung mit einer Rechtsverordnung nach § 31 Absatz 6 gekennzeichnet ist.</w:t>
      </w:r>
    </w:p>
    <w:p>
      <w:r>
        <w:t xml:space="preserve">(2) Die für das Referenzmittel festgesetzten oder nachträglich geänderten Anwendungsgebiete, Anwendungsbestimmungen und Auflagen gelten auch für das parallelgehandelte Pflanzenschutzmittel. Wird für das Referenzmittel die Zulassung nach Artikel 51 der Verordnung (EG) Nr. 1107/2009 erweitert, gilt diese auch für das parallelgehandelte Pflanzenschutzmittel.</w:t>
      </w:r>
    </w:p>
    <w:p>
      <w:r>
        <w:rPr>
          <w:color w:val="555555"/>
          <w:sz w:val="17"/>
        </w:rPr>
        <w:t xml:space="preserve">Zitiervorschlag: § 47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