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PflSchG 2012 — Zusatzstoffe</w:t>
      </w:r>
    </w:p>
    <w:p>
      <w:r>
        <w:rPr>
          <w:color w:val="555555"/>
          <w:sz w:val="18"/>
        </w:rPr>
        <w:t xml:space="preserve">Pflanzenschutzgesetz</w:t>
      </w:r>
    </w:p>
    <w:p>
      <w:r>
        <w:rPr>
          <w:color w:val="555555"/>
          <w:sz w:val="18"/>
        </w:rPr>
        <w:t xml:space="preserve">Stand: 12.08.2020 (konsolidierte Textfassung, kein amtliches Inkrafttretensdatum)</w:t>
      </w:r>
    </w:p>
    <w:p>
      <w:r>
        <w:t xml:space="preserve">(1) Zusatzstoffe im Sinne des Artikels 2 Absatz 3 Buchstabe d der Verordnung (EG) Nr. 1107/2009 dürfen in der Formulierung, in der die Abgabe an den Anwender vorgesehen ist, nur in den Verkehr gebracht werden, wenn sie auf Antrag durch das Bundesamt für Verbraucherschutz und Lebensmittelsicherheit genehmigt worden und nach § 43 gekennzeichnet sind.</w:t>
      </w:r>
    </w:p>
    <w:p>
      <w:r>
        <w:t xml:space="preserve">(2) Das Bundesamt für Verbraucherschutz und Lebensmittelsicherheit genehmigt einen Zusatzstoff, wenn der Zusatzstoff bei bestimmungsgemäßer und sachgerechter Anwendung oder als Folge einer solchen Anwendung keine schädlichen Auswirkungen, insbesondere auf die Gesundheit von Mensch und Tier, das Grundwasser und den Naturhaushalt hat. Die Genehmigung erfolgt für einen Zeitraum von zehn Jahren.</w:t>
      </w:r>
    </w:p>
    <w:p>
      <w:r>
        <w:t xml:space="preserve">(3) Das Bundesamt für Verbraucherschutz und Lebensmittelsicherheit entscheidet innerhalb von vier Monaten nach Eingang des Antrages über die Genehmigung. Es trifft die Entscheidung hinsichtlich</w:t>
      </w:r>
    </w:p>
    <w:p>
      <w:pPr>
        <w:ind w:left="420"/>
      </w:pPr>
      <w:r>
        <w:t xml:space="preserve">1. möglicher schädlicher Auswirkungen auf die Gesundheit von Mensch und Tier im Benehmen mit dem Bundesinstitut für Risikobewertung,</w:t>
      </w:r>
    </w:p>
    <w:p>
      <w:pPr>
        <w:ind w:left="420"/>
      </w:pPr>
      <w:r>
        <w:t xml:space="preserve">2. möglicher schädlicher Auswirkungen auf den Naturhaushalt im Einvernehmen mit dem Umweltbundesamt,</w:t>
      </w:r>
    </w:p>
    <w:p>
      <w:pPr>
        <w:ind w:left="420"/>
      </w:pPr>
      <w:r>
        <w:t xml:space="preserve">3. anderer schädlicher Auswirkungen im Sinne des Absatzes 2 im Benehmen mit dem Julius Kühn-Institut.</w:t>
      </w:r>
    </w:p>
    <w:p>
      <w:r>
        <w:t xml:space="preserve">Die in Satz 1 Nummer 1 bis 3 genannten Behörden verbinden ihre Entscheidung mit einer schriftlichen Bewertung, die dem Bundesamt für Verbraucherschutz und Lebensmittelsicherheit vorzulegen ist. Verlangt das Bundesamt für Verbraucherschutz und Lebensmittelsicherheit vom Antragsteller Unterlagen und Proben zur Überprüfung der Voraussetzungen im Sinne des Absatzes 2, entscheidet es innerhalb von vier Monaten nach Eingang der Unterlagen oder Proben.</w:t>
      </w:r>
    </w:p>
    <w:p>
      <w:r>
        <w:t xml:space="preserve">(4) Das Bundesamt für Verbraucherschutz und Lebensmittelsicherheit macht die Genehmigung von Zusatzstoffen und den Widerruf von Genehmigungen im Bundesanzeiger oder im elektronischen Bundesanzeiger bekannt.</w:t>
      </w:r>
    </w:p>
    <w:p>
      <w:r>
        <w:t xml:space="preserve">(5) Das Bundesministerium für Ernährung und Landwirtschaft wird ermächtigt, im Einvernehmen mit den Bundesministerien für Wirtschaft und Energie, für Arbeit und Soziales und für Umwelt, Naturschutz und nukleare Sicherheit durch Rechtsverordnung ohne Zustimmung des Bundesrates nähere Einzelheiten des Verfahrens der Genehmigung der Zusatzstoffe, insbesondere Inhalt und Form des Antrages und die mit dem Antrag einzureichenden Unterlagen zu regeln.</w:t>
      </w:r>
    </w:p>
    <w:p>
      <w:r>
        <w:rPr>
          <w:color w:val="555555"/>
          <w:sz w:val="17"/>
        </w:rPr>
        <w:t xml:space="preserve">Zitiervorschlag: § 42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