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PflSchG 2012 — Widerruf, Rücknahme, Ruhen der Zulassung</w:t>
      </w:r>
    </w:p>
    <w:p>
      <w:r>
        <w:rPr>
          <w:color w:val="555555"/>
          <w:sz w:val="18"/>
        </w:rPr>
        <w:t xml:space="preserve">Pflanzenschutzgesetz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Zulassung ist zu widerrufen, wenn</w:t>
      </w:r>
    </w:p>
    <w:p>
      <w:pPr>
        <w:ind w:left="420"/>
      </w:pPr>
      <w:r>
        <w:t xml:space="preserve">1. die Voraussetzungen des Artikels 44 Absatz 3 Buchstabe a, c oder e der Verordnung (EG) Nr. 1107/2009 vorliegen oder</w:t>
      </w:r>
    </w:p>
    <w:p>
      <w:pPr>
        <w:ind w:left="420"/>
      </w:pPr>
      <w:r>
        <w:t xml:space="preserve">2. der Zulassungsinhaber wiederholt gegen seine Pflichten aus Artikel 56 der Verordnung (EG) Nr. 1107/2009 verstoßen hat.</w:t>
      </w:r>
    </w:p>
    <w:p>
      <w:r>
        <w:t xml:space="preserve">(2) Eine Zulassung kann unbeschadet des § 49 des Verwaltungsverfahrensgesetzes widerrufen werden, wenn</w:t>
      </w:r>
    </w:p>
    <w:p>
      <w:pPr>
        <w:ind w:left="420"/>
      </w:pPr>
      <w:r>
        <w:t xml:space="preserve">1. die Voraussetzungen des Artikels 44 Absatz 1 oder Absatz 3 Buchstabe d der Verordnung (EG) Nr. 1107/2009 vorliegen,</w:t>
      </w:r>
    </w:p>
    <w:p>
      <w:pPr>
        <w:ind w:left="420"/>
      </w:pPr>
      <w:r>
        <w:t xml:space="preserve">2. der Zulassungsinhaber einen Antrag nach Artikel 45 Absatz 1 gestellt hat oder</w:t>
      </w:r>
    </w:p>
    <w:p>
      <w:pPr>
        <w:ind w:left="420"/>
      </w:pPr>
      <w:r>
        <w:t xml:space="preserve">3. wiederholt die Zusammensetzung des in Verkehr gebrachten Pflanzenschutzmittels wesentlich von der Zusammensetzung des zugelassenen Pflanzenschutzmittels abweicht.</w:t>
      </w:r>
    </w:p>
    <w:p>
      <w:r>
        <w:t xml:space="preserve">(3) Zulassungen sind zurückzunehmen, wenn der Antragsteller die Zulassung</w:t>
      </w:r>
    </w:p>
    <w:p>
      <w:pPr>
        <w:ind w:left="420"/>
      </w:pPr>
      <w:r>
        <w:t xml:space="preserve">1. durch arglistige Täuschung, Drohung oder Bestechung oder</w:t>
      </w:r>
    </w:p>
    <w:p>
      <w:pPr>
        <w:ind w:left="420"/>
      </w:pPr>
      <w:r>
        <w:t xml:space="preserve">2. unter den Voraussetzungen des Artikels 44 Absatz 3 Buchstabe b der Verordnung (EG) Nr. 1107/2009</w:t>
      </w:r>
    </w:p>
    <w:p>
      <w:r>
        <w:t xml:space="preserve">erwirkt hat. Im Übrigen bleibt § 48 des Verwaltungsverfahrensgesetzes unberührt.</w:t>
      </w:r>
    </w:p>
    <w:p>
      <w:r>
        <w:t xml:space="preserve">(4) Das Bundesamt für Verbraucherschutz und Lebensmittelsicherheit kann, auch in den Fällen der Absätze 2 und 3, an Stelle der Rücknahme oder des Widerrufes bis zur Beseitigung der Rücknahme- oder Widerrufsgründe das Ruhen der Zulassung für einen bestimmten Zeitraum anordnen.</w:t>
      </w:r>
    </w:p>
    <w:p>
      <w:r>
        <w:t xml:space="preserve">(5) In den Fällen des Absatzes 1 Nummer 1 und des Absatzes 2 Nummer 1 gilt § 49 Absatz 6 des Verwaltungsverfahrensgesetzes entsprechend.</w:t>
      </w:r>
    </w:p>
    <w:p>
      <w:r>
        <w:rPr>
          <w:color w:val="555555"/>
          <w:sz w:val="17"/>
        </w:rPr>
        <w:t xml:space="preserve">Zitiervorschlag: § 39 PflSchG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https://recht.nulegal.eu/gesetze/PflSchG%202012/39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