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PflSchG 2012 — Ergänzende Bestimmungen für den Inhalt der Zulassung</w:t>
      </w:r>
    </w:p>
    <w:p>
      <w:r>
        <w:rPr>
          <w:color w:val="555555"/>
          <w:sz w:val="18"/>
        </w:rPr>
        <w:t xml:space="preserve">Pflanzenschutzgesetz</w:t>
      </w:r>
    </w:p>
    <w:p>
      <w:r>
        <w:rPr>
          <w:color w:val="555555"/>
          <w:sz w:val="18"/>
        </w:rPr>
        <w:t xml:space="preserve">Stand: 12.08.2020 (konsolidierte Textfassung, kein amtliches Inkrafttretensdatum)</w:t>
      </w:r>
    </w:p>
    <w:p>
      <w:r>
        <w:t xml:space="preserve">(1) In der Zulassung kann das Bundesamt für Verbraucherschutz und Lebensmittelsicherheit ergänzend zu den in Artikel 31 Absatz 2 und 3 der Verordnung (EG) Nr. 1107/2009 vorgeschriebenen Bestimmungen insbesondere Anwendungsbestimmungen zum Schutz der Gesundheit von Mensch und Tier und zum Schutz vor sonstigen schädlichen Auswirkungen, insbesondere auf den Naturhaushalt, einschließlich solcher über</w:t>
      </w:r>
    </w:p>
    <w:p>
      <w:pPr>
        <w:ind w:left="420"/>
      </w:pPr>
      <w:r>
        <w:t xml:space="preserve">1. den bei sachgerechter und bestimmungsgemäßer Anwendung zum Schutz von Gewässern erforderlichen Abstand und Maßnahmen bei der Anwendung,</w:t>
      </w:r>
    </w:p>
    <w:p>
      <w:pPr>
        <w:ind w:left="420"/>
      </w:pPr>
      <w:r>
        <w:t xml:space="preserve">2. die zur Anwendung berechtigten Personen und</w:t>
      </w:r>
    </w:p>
    <w:p>
      <w:pPr>
        <w:ind w:left="420"/>
      </w:pPr>
      <w:r>
        <w:t xml:space="preserve">3. spezifische Risikominderungsmaßnahmen in bestimmten Gebieten</w:t>
      </w:r>
    </w:p>
    <w:p>
      <w:r>
        <w:t xml:space="preserve">festlegen. In der Zulassung kann das Bundesamt für Verbraucherschutz und Lebensmittelsicherheit außerdem</w:t>
      </w:r>
    </w:p>
    <w:p>
      <w:pPr>
        <w:ind w:left="420"/>
      </w:pPr>
      <w:r>
        <w:t xml:space="preserve">1. die Art der Verpackung,</w:t>
      </w:r>
    </w:p>
    <w:p>
      <w:pPr>
        <w:ind w:left="420"/>
      </w:pPr>
      <w:r>
        <w:t xml:space="preserve">2. die Eignung des Pflanzenschutzmittels für nichtberufliche Anwender unter Berücksichtigung insbesondere der Eigenschaften der Wirkstoffe, der Dosierfähigkeit, der Anwendungsform und der Verpackungsgröße oder</w:t>
      </w:r>
    </w:p>
    <w:p>
      <w:pPr>
        <w:ind w:left="420"/>
      </w:pPr>
      <w:r>
        <w:t xml:space="preserve">3. die Eignung des Pflanzenschutzmittels zur Anwendung auf Flächen im Sinne des § 12 Absatz 3 Satz 2 Nummer 2 und § 17 Absatz 1</w:t>
      </w:r>
    </w:p>
    <w:p>
      <w:r>
        <w:t xml:space="preserve">festlegen.</w:t>
      </w:r>
    </w:p>
    <w:p>
      <w:r>
        <w:t xml:space="preserve">(2) Das Bundesamt für Verbraucherschutz und Lebensmittelsicherheit kann auf Antrag festlegen, dass ein für berufliche Anwender zugelassenes Pflanzenschutzmittel auf Grund seiner Eigenschaften auch im Haus- und Kleingartenbereich angewendet werden darf, soweit sich das für berufliche Anwender zugelassene Pflanzenschutzmittel nur durch Packungsgröße oder Darreichungsform von einem für nichtberufliche Anwender zugelassenen Pflanzenschutzmittel unterscheidet.</w:t>
      </w:r>
    </w:p>
    <w:p>
      <w:r>
        <w:t xml:space="preserve">(3) Das Bundesamt für Verbraucherschutz und Lebensmittelsicherheit verbindet die Zulassung mit den Nebenbestimmungen, insbesondere Auflagen, die</w:t>
      </w:r>
    </w:p>
    <w:p>
      <w:pPr>
        <w:ind w:left="420"/>
      </w:pPr>
      <w:r>
        <w:t xml:space="preserve">1. für die bestimmungsgemäße und sachgerechte Anwendung sowie</w:t>
      </w:r>
    </w:p>
    <w:p>
      <w:pPr>
        <w:ind w:left="420"/>
      </w:pPr>
      <w:r>
        <w:t xml:space="preserve">2. zum Schutz der Gesundheit von Mensch und Tier und zum Schutz vor sonstigen erheblichen schädlichen Auswirkungen, insbesondere für den Naturhaushalt,</w:t>
      </w:r>
    </w:p>
    <w:p>
      <w:r>
        <w:t xml:space="preserve">erforderlich sind, soweit Regelungen nach Absatz 1 nicht getroffen werden. Ferner verbindet das Bundesamt für Verbraucherschutz und Lebensmittelsicherheit die Zulassung mit dem Vorbehalt der nachträglichen Aufnahme, Änderung oder Ergänzung von Anwendungsbestimmungen oder Auflagen. Unbeschadet des § 31 hat der Zulassungsinhaber die nachträgliche Aufnahme, Änderung oder Ergänzungen von Anwendungsbestimmungen oder Auflagen sowie sonstige Änderungen in der Gebrauchsanleitung unverzüglich in geeigneter Weise bekannt zu machen. Geeignet ist auch eine Veröffentlichung auf einer Internetseite des Zulassungsinhabers.</w:t>
      </w:r>
    </w:p>
    <w:p>
      <w:r>
        <w:t xml:space="preserve">(4) Rechtsbehelfe gegen die Anordnung von Anwendungsbestimmungen oder Auflagen haben keine aufschiebende Wirkung.</w:t>
      </w:r>
    </w:p>
    <w:p>
      <w:r>
        <w:t xml:space="preserve">(5) Das Bundesamt für Verbraucherschutz und Lebensmittelsicherheit kann, soweit dies für den in § 1 Nummer 3 aufgeführten Schutzzweck erforderlich ist, durch Auflagen anordnen, dass während der Dauer der Zulassung bestimmte Kenntnisse bei der Anwendung des Pflanzenschutzmittels gewonnen, gesammelt und ausgewertet und ihm die Ergebnisse innerhalb einer bestimmten Frist mitgeteilt werden. Auf Verlangen sind ihm die entsprechenden Unterlagen und Proben vorzulegen. Werden die Ergebnisse oder die entsprechenden Unterlagen und Proben nicht innerhalb der bestimmten Frist mitgeteilt, kann das Bundesamt für Verbraucherschutz und Lebensmittelsicherheit das Ruhen der Zulassung anordnen.</w:t>
      </w:r>
    </w:p>
    <w:p>
      <w:r>
        <w:t xml:space="preserve">(6) Das Bundesministerium für Ernährung und Landwirtschaft wird ermächtigt, im Einvernehmen mit dem Bundesministerium für Umwelt, Naturschutz und nukleare Sicherheit auf Vorschlag der zuständigen Behörde eines Landes ohne Zustimmung des Bundesrates durch Rechtsverordnung für</w:t>
      </w:r>
    </w:p>
    <w:p>
      <w:pPr>
        <w:ind w:left="420"/>
      </w:pPr>
      <w:r>
        <w:t xml:space="preserve">1. ein bestimmtes Gebiet dieses Landes und</w:t>
      </w:r>
    </w:p>
    <w:p>
      <w:pPr>
        <w:ind w:left="420"/>
      </w:pPr>
      <w:r>
        <w:t xml:space="preserve">2. bestimmte Pflanzenschutzmittel</w:t>
      </w:r>
    </w:p>
    <w:p>
      <w:r>
        <w:t xml:space="preserve">von den mit der jeweiligen Zulassung festgesetzten Auflagen und Anwendungsbestimmungen abweichende Anforderungen hinsichtlich der Anwendung festzulegen, wenn durch geeignete Risikominderungsmaßnahmen und Überwachungsmaßnahmen sichergestellt wird, dass bei bestimmungsgemäßer und sachgerechter Anwendung des jeweiligen Pflanzenschutzmittels keine schädlichen Auswirkungen auf die Gesundheit von Mensch und Tier und auf das Grundwasser und keine sonstigen nicht vertretbaren Auswirkungen, insbesondere auf den Naturhaushalt, entstehen. Die zuständigen Behörden unterrichten das Bundesamt für Verbraucherschutz und Lebensmittelsicherheit einmal jährlich über die in dem abgegrenzten Gebiet getroffenen Überwachungsmaßnahmen.</w:t>
      </w:r>
    </w:p>
    <w:p>
      <w:r>
        <w:t xml:space="preserve">(7) Das Bundesministerium für Ernährung und Landwirtschaft kann die Ermächtigung nach Absatz 6 Satz 1 im Einvernehmen mit dem Bundesministerium für Umwelt, Naturschutz und nukleare Sicherheit durch Rechtsverordnung ohne Zustimmung des Bundesrates auf das Bundesamt für Verbraucherschutz und Lebensmittelsicherheit übertragen. Rechtsverordnungen des Bundesamtes für Verbraucherschutz und Lebensmittelsicherheit</w:t>
      </w:r>
    </w:p>
    <w:p>
      <w:pPr>
        <w:ind w:left="420"/>
      </w:pPr>
      <w:r>
        <w:t xml:space="preserve">1. bedürfen nicht der Zustimmung des Bundesrates und des Einvernehmens des Bundesministeriums für Umwelt, Naturschutz und nukleare Sicherheit und</w:t>
      </w:r>
    </w:p>
    <w:p>
      <w:pPr>
        <w:ind w:left="420"/>
      </w:pPr>
      <w:r>
        <w:t xml:space="preserve">2. ergehen im Einvernehmen mit dem Umweltbundesamt; es gilt als erteilt, wenn es nicht binnen 20 Tagen nach Eingang des Einvernehmensersuchens des Bundesamtes für Verbraucherschutz und Lebensmittelsicherheit verweigert wird.</w:t>
      </w:r>
    </w:p>
    <w:p>
      <w:r>
        <w:t xml:space="preserve">(8) Für die Entscheidungen nach den Absätzen 1, 2 und 4 ist § 34 Absatz 1 entsprechend anzuwenden.</w:t>
      </w:r>
    </w:p>
    <w:p>
      <w:r>
        <w:rPr>
          <w:color w:val="555555"/>
          <w:sz w:val="17"/>
        </w:rPr>
        <w:t xml:space="preserve">Zitiervorschlag: § 36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