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PflSchG 2012 — Grundlagen für die Verfahren zur Zulassung eines Pflanzenschutzmittels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Prüfung eines Antrages, auch im Verfahren der gegenseitigen Anerkennung, auf Zulassung, Erweiterung oder sonstige Änderung der Zulassung eines Pflanzenschutzmittels, dessen Wirkstoff nach Artikel 4 der Verordnung (EG) Nr. 1107/2009 genehmigt worden ist, sind die aus dem Genehmigungsverfahren abgeleiteten Erkenntnisse über die Eigenschaften des Wirkstoffes zu Grunde zu legen.</w:t>
      </w:r>
    </w:p>
    <w:p>
      <w:r>
        <w:t xml:space="preserve">(2) Bei der Prüfung eines Antrages auf Zulassung eines Pflanzenschutzmittels nach den Artikeln 29 oder 30 der Verordnung (EG) Nr. 1107/2009 sind die von der Europäischen Kommission nach Artikel 77 der Verordnung (EG) Nr. 1107/2009 entwickelten Leitlinien zu beachten.</w:t>
      </w:r>
    </w:p>
    <w:p>
      <w:r>
        <w:rPr>
          <w:color w:val="555555"/>
          <w:sz w:val="17"/>
        </w:rPr>
        <w:t xml:space="preserve">Zitiervorschlag: § 35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