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PflSchG 2012 — Inverkehrbringen von mit Pflanzenschutzmitteln behandeltem Saatgut, Pflanzgut oder Kultursubstrat</w:t>
      </w:r>
    </w:p>
    <w:p>
      <w:r>
        <w:rPr>
          <w:color w:val="555555"/>
          <w:sz w:val="18"/>
        </w:rPr>
        <w:t xml:space="preserve">Pflanzenschutzgesetz</w:t>
      </w:r>
    </w:p>
    <w:p>
      <w:r>
        <w:rPr>
          <w:color w:val="555555"/>
          <w:sz w:val="18"/>
        </w:rPr>
        <w:t xml:space="preserve">Stand: 10.06.2019 (konsolidierte Textfassung, kein amtliches Inkrafttretensdatum)</w:t>
      </w:r>
    </w:p>
    <w:p>
      <w:r>
        <w:t xml:space="preserve">(1) Saatgut, Pflanzgut und Kultursubstrate, die Pflanzenschutzmittel enthalten oder denen Pflanzenschutzmittel anhaften, dürfen nur innergemeinschaftlich verbracht oder in Verkehr gebracht werden, wenn die Pflanzenschutzmittel</w:t>
      </w:r>
    </w:p>
    <w:p>
      <w:pPr>
        <w:ind w:left="420"/>
      </w:pPr>
      <w:r>
        <w:t xml:space="preserve">1. in Deutschland für dieses Anwendungsgebiet zugelassen sind oder nach § 12 Absatz 5 noch angewendet werden dürfen oder</w:t>
      </w:r>
    </w:p>
    <w:p>
      <w:pPr>
        <w:ind w:left="420"/>
      </w:pPr>
      <w:r>
        <w:t xml:space="preserve">2. in einem anderen Mitgliedstaat oder einem Vertragsstaat des Abkommens über den Europäischen Wirtschaftsraum nach den Bestimmungen des Artikels 4 Absatz 1 Buchstabe b bis e der Richtlinie 91/414/EWG oder nach den Bestimmungen der Verordnung (EG) Nr. 1107/2009 für dieses Anwendungsgebiet zugelassen sind.</w:t>
      </w:r>
    </w:p>
    <w:p>
      <w:r>
        <w:t xml:space="preserve">(2) Das in Absatz 1 genannte Saatgut darf nur innergemeinschaftlich verbracht oder in Verkehr gebracht werden, wenn es zusätzlich zu den saatgutrechtlichen Anforderungen nach Artikel 49 Absatz 4 der Verordnung (EG) Nr. 1107/2009 gekennzeichnet ist. Bestehen für das jeweilige Saatgut besondere Anforderungen auf Grund einer nach Absatz 4 erlassenen Verordnung, darf es nur innergemeinschaftlich verbracht oder in Verkehr gebracht werden, wenn diese Anforderungen erfüllt sind.</w:t>
      </w:r>
    </w:p>
    <w:p>
      <w:r>
        <w:t xml:space="preserve">(3) Ruht die Zulassung für ein in Deutschland zugelassenes Pflanzenschutzmittel oder wird eine Zulassung widerrufen, weil die Voraussetzungen für die Zulassung nicht mehr erfüllt sind, darf auch Saatgut, Pflanzgut oder Kultursubstrat, das mit diesem Pflanzenschutzmittel oder einem Pflanzenschutzmittel, das den gleichen Wirkstoff enthält, behandelt worden ist, nicht in Verkehr gebracht werden. Dies gilt nicht, wenn der Widerruf der Zulassung auf Antrag des Zulassungsinhabers erfolgt.</w:t>
      </w:r>
    </w:p>
    <w:p>
      <w:r>
        <w:t xml:space="preserve">(4) Das Bundesministerium für Ernährung und Landwirtschaft wird ermächtigt, soweit es zum Schutz der Gesundheit von Mensch und Tier oder zum Schutz vor erheblichen Gefahren insbesondere für den Naturhaushalt erforderlich ist, durch Rechtsverordnung mit Zustimmung des Bundesrates das Inverkehrbringen oder die Einfuhr von Saatgut, Pflanzgut oder Kultursubstrat, das mit einem Pflanzenschutzmittel behandelt wurde oder dem ein Pflanzenschutzmittel anhaftet,</w:t>
      </w:r>
    </w:p>
    <w:p>
      <w:pPr>
        <w:ind w:left="420"/>
      </w:pPr>
      <w:r>
        <w:t xml:space="preserve">1. zu verbieten, zu beschränken,</w:t>
      </w:r>
    </w:p>
    <w:p>
      <w:pPr>
        <w:ind w:left="420"/>
      </w:pPr>
      <w:r>
        <w:t xml:space="preserve">2. von einer Genehmigung oder Anzeige abhängig zu machen oder</w:t>
      </w:r>
    </w:p>
    <w:p>
      <w:pPr>
        <w:ind w:left="420"/>
      </w:pPr>
      <w:r>
        <w:t xml:space="preserve">3. von einer Kennzeichnung, insbesondere von Angaben zu dem anhaftenden oder enthaltenen Pflanzenschutzmittel, dem Wirkstoff und der Aufwandmenge abhängig zu machen und dabei die Art und Weise der Kennzeichnung zu regeln,</w:t>
      </w:r>
    </w:p>
    <w:p>
      <w:r>
        <w:t xml:space="preserve">sofern die Europäische Kommission nicht zuvor nach Artikel 49 Absatz 2 der Verordnung (EG) Nr. 1107/2009 eine Regelung getroffen hat.</w:t>
      </w:r>
    </w:p>
    <w:p>
      <w:r>
        <w:rPr>
          <w:color w:val="555555"/>
          <w:sz w:val="17"/>
        </w:rPr>
        <w:t xml:space="preserve">Zitiervorschlag: § 32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