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PflSchG 2012 — Kennzeichnung</w:t>
      </w:r>
    </w:p>
    <w:p>
      <w:r>
        <w:rPr>
          <w:color w:val="555555"/>
          <w:sz w:val="18"/>
        </w:rPr>
        <w:t xml:space="preserve">Pflanzenschutzgesetz</w:t>
      </w:r>
    </w:p>
    <w:p>
      <w:r>
        <w:rPr>
          <w:color w:val="555555"/>
          <w:sz w:val="18"/>
        </w:rPr>
        <w:t xml:space="preserve">Stand: 12.08.2020 (konsolidierte Textfassung, kein amtliches Inkrafttretensdatum)</w:t>
      </w:r>
    </w:p>
    <w:p>
      <w:r>
        <w:t xml:space="preserve">(1) Die Vorschriften der §§ 13 und 14 des Chemikaliengesetzes über die Kennzeichnung sind</w:t>
      </w:r>
    </w:p>
    <w:p>
      <w:pPr>
        <w:ind w:left="420"/>
      </w:pPr>
      <w:r>
        <w:t xml:space="preserve">1. auf das Inverkehrbringen oder innergemeinschaftliche Verbringen von Pflanzenschutzmitteln, die keine Stoffe oder Gemische im Sinne des § 3 Nummer 1 oder 4 des Chemikaliengesetzes sind,</w:t>
      </w:r>
    </w:p>
    <w:p>
      <w:pPr>
        <w:ind w:left="420"/>
      </w:pPr>
      <w:r>
        <w:t xml:space="preserve">2. auf das Inverkehrbringen oder innergemeinschaftliche Verbringen von Pflanzenschutzmitteln auch durch Vertriebsunternehmer</w:t>
      </w:r>
    </w:p>
    <w:p>
      <w:r>
        <w:t xml:space="preserve">entsprechend anzuwenden.</w:t>
      </w:r>
    </w:p>
    <w:p>
      <w:r>
        <w:t xml:space="preserve">(2) Pflanzenschutzmittel dürfen nur in den Verkehr gebracht oder innergemeinschaftlich verbracht werden, wenn zusätzlich zu der Kennzeichnung nach den §§ 13 und 14 des Chemikaliengesetzes auf den Behältnissen und abgabefertigen Packungen in deutscher Sprache und in deutlich sichtbarer, leicht lesbarer Schrift unverwischbar die nach Anhang I der Verordnung (EU) Nr. 547/2011 der Kommission vom 8. Juni 2011 zur Durchführung der Verordnung (EG) Nr. 1107/2009 des Europäischen Parlaments und des Rates hinsichtlich der Kennzeichnungsanforderungen für Pflanzenschutzmittel (ABl. L 155 vom 11.6.2011, S. 176) geforderten Angaben angebracht sind. Dabei sind die in Anhang I Nummer 1 Buchstabe h, i, l, m und u der Verordnung (EU) Nr. 547/2011 vorgeschriebenen Angaben unter der Überschrift „Von der Zulassungsbehörde festgesetzte Anwendungsgebiete und -bestimmungen“ deutlich getrennt von den übrigen Angaben und Aufschriften aufzunehmen.</w:t>
      </w:r>
    </w:p>
    <w:p>
      <w:r>
        <w:t xml:space="preserve">(3) Die Absätze 1 und 2 gelten nicht hinsichtlich der Einfuhr oder des innergemeinschaftlichen Verbringens eines Pflanzenschutzmittels durch den Hersteller oder Vertriebsunternehmer.</w:t>
      </w:r>
    </w:p>
    <w:p>
      <w:r>
        <w:t xml:space="preserve">(4) Absatz 2 gilt nicht für Pflanzenschutzmittel, die für die Ausfuhr bestimmt sind oder sich im Falle der Einfuhr in einem Freihafen oder als Nichtgemeinschaftsware unter zollamtlicher Überwachung befinden.</w:t>
      </w:r>
    </w:p>
    <w:p>
      <w:r>
        <w:t xml:space="preserve">(5) Es ist verboten, Pflanzenschutzmittel herzustellen, innergemeinschaftlich zu verbringen oder in Verkehr zu bringen, die</w:t>
      </w:r>
    </w:p>
    <w:p>
      <w:pPr>
        <w:ind w:left="420"/>
      </w:pPr>
      <w:r>
        <w:t xml:space="preserve">1. hinsichtlich ihrer Identität oder Herkunft falsch gekennzeichnet sind oder</w:t>
      </w:r>
    </w:p>
    <w:p>
      <w:pPr>
        <w:ind w:left="420"/>
      </w:pPr>
      <w:r>
        <w:t xml:space="preserve">2. in anderer Weise mit irreführender Bezeichnung, Angabe oder Aufmachung versehen sind.</w:t>
      </w:r>
    </w:p>
    <w:p>
      <w:r>
        <w:t xml:space="preserve">Eine Irreführung liegt insbesondere dann vor, wenn fälschlich der Eindruck erweckt wird, dass es sich um ein zugelassenes Pflanzenschutzmittel oder um ein Pflanzenschutzmittel, für das eine Genehmigung zum Parallelhandel erteilt worden ist, handelt.</w:t>
      </w:r>
    </w:p>
    <w:p>
      <w:r>
        <w:t xml:space="preserve">(6) Das Bundesministerium für Ernährung und Landwirtschaft wird ermächtigt, im Einvernehmen mit den Bundesministerien für Arbeit und Soziales und für Umwelt, Naturschutz und nukleare Sicherheit durch Rechtsverordnung mit Zustimmung des Bundesrates, soweit es zur Erfüllung der in § 1 genannten Zwecke erforderlich ist,</w:t>
      </w:r>
    </w:p>
    <w:p>
      <w:pPr>
        <w:ind w:left="420"/>
      </w:pPr>
      <w:r>
        <w:t xml:space="preserve">1. den Inhalt der Angaben nach Absatz 2 näher zu bestimmen,</w:t>
      </w:r>
    </w:p>
    <w:p>
      <w:pPr>
        <w:ind w:left="420"/>
      </w:pPr>
      <w:r>
        <w:t xml:space="preserve">2. vorzuschreiben, dass zusätzlich zu den Angaben nach den Absätzen 1 und 2 auf Behältnissen und abgabefertigen Packungen bestimmte weitere Angaben anzubringen sind und ihren Inhalt festzulegen,</w:t>
      </w:r>
    </w:p>
    <w:p>
      <w:pPr>
        <w:ind w:left="420"/>
      </w:pPr>
      <w:r>
        <w:t xml:space="preserve">3. Art und Form der Kennzeichnung näher zu regeln,</w:t>
      </w:r>
    </w:p>
    <w:p>
      <w:pPr>
        <w:ind w:left="420"/>
      </w:pPr>
      <w:r>
        <w:t xml:space="preserve">4. die Verwendung bestimmter Behältnisse, Packungen oder Verpackungsmaterialien vorzuschreiben sowie die Schließung der Behältnisse oder Packungen einschließlich der Verschlusssicherung zu regeln oder</w:t>
      </w:r>
    </w:p>
    <w:p>
      <w:pPr>
        <w:ind w:left="420"/>
      </w:pPr>
      <w:r>
        <w:t xml:space="preserve">5. für das Inverkehrbringen von Kultursubstraten, die Pflanzenschutzmittel enthalten oder denen Pflanzenschutzmittel anhaften, eine bestimmte Kennzeichnung vorzuschreiben.</w:t>
      </w:r>
    </w:p>
    <w:p>
      <w:r>
        <w:rPr>
          <w:color w:val="555555"/>
          <w:sz w:val="17"/>
        </w:rPr>
        <w:t xml:space="preserve">Zitiervorschlag: § 31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