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PflSchG 2012 — Inverkehrbringen in besonderen Fällen</w:t>
      </w:r>
    </w:p>
    <w:p>
      <w:r>
        <w:rPr>
          <w:color w:val="555555"/>
          <w:sz w:val="18"/>
        </w:rPr>
        <w:t xml:space="preserve">Pflanzenschutzgesetz</w:t>
      </w:r>
    </w:p>
    <w:p>
      <w:r>
        <w:rPr>
          <w:color w:val="555555"/>
          <w:sz w:val="18"/>
        </w:rPr>
        <w:t xml:space="preserve">Stand: 10.06.2019 (konsolidierte Textfassung, kein amtliches Inkrafttretensdatum)</w:t>
      </w:r>
    </w:p>
    <w:p>
      <w:r>
        <w:t xml:space="preserve">(1) Das Bundesamt für Verbraucherschutz und Lebensmittelsicherheit kann das Inverkehrbringen, das innergemeinschaftliche Verbringen und die Anwendung nicht zugelassener Pflanzenschutzmittel genehmigen</w:t>
      </w:r>
    </w:p>
    <w:p>
      <w:pPr>
        <w:ind w:left="420"/>
      </w:pPr>
      <w:r>
        <w:t xml:space="preserve">1. unter den Voraussetzungen des Artikels 53 der Verordnung (EG) Nr. 1107/2009 oder</w:t>
      </w:r>
    </w:p>
    <w:p>
      <w:pPr>
        <w:ind w:left="420"/>
      </w:pPr>
      <w:r>
        <w:t xml:space="preserve">2. zur Anwendung an Befallsgegenständen, die für die Ausfuhr bestimmt sind, sofern für diese im Bestimmungsland abweichende Anforderungen gelten oder die Pflanzenschutzmittel im Bestimmungsland für diese Anwendung zugelassen sind,</w:t>
      </w:r>
    </w:p>
    <w:p>
      <w:r>
        <w:t xml:space="preserve">für eine bestimmte Menge und für einen bestimmten Zeitraum, der im Falle der Nummer 1 einen Zeitraum von 120 Tage nicht überschreiten darf. Dabei hat es die Anwendungsgebiete sowie die zum Schutz der Gesundheit von Mensch und Tier und die zum Schutz vor sonstigen schädlichen Auswirkungen, insbesondere auf den Naturhaushalt, erforderlichen Anwendungsbestimmungen, einschließlich solcher über die zur Anwendung berechtigten Personen, festzusetzen und die erforderlichen Auflagen zu erteilen. Die Genehmigung kann mit dem Vorbehalt des Widerrufes verbunden werden. Sie kann erneut erteilt werden. Im Falle des Satzes 1 Nummer 1 kann für ein zugelassenes Pflanzenschutzmittel eine Genehmigung auch für ein nicht mit der Zulassung festgesetztes Anwendungsgebiet erteilt werden.</w:t>
      </w:r>
    </w:p>
    <w:p>
      <w:r>
        <w:t xml:space="preserve">(2) Die Landesregierungen können durch Rechtsverordnung ergänzende Regelungen für die Anwendung eines Pflanzenschutzmittels, für das eine Genehmigung nach Absatz 1 Satz 1 Nummer 1 erteilt worden ist, erlassen, um eine bestimmungsgemäße und sachgerechte Anwendung sicherzustellen. Die Landesregierungen können diese Befugnis durch Rechtsverordnung auf oberste Landesbehörden übertragen.</w:t>
      </w:r>
    </w:p>
    <w:p>
      <w:r>
        <w:t xml:space="preserve">(3) Im Falle des Absatzes 1 Satz 1 Nummer 2 wird die Genehmigung im Benehmen mit dem Bundesinstitut für Risikobewertung, dem Julius Kühn-Institut und dem Umweltbundesamt erteilt.</w:t>
      </w:r>
    </w:p>
    <w:p>
      <w:r>
        <w:rPr>
          <w:color w:val="555555"/>
          <w:sz w:val="17"/>
        </w:rPr>
        <w:t xml:space="preserve">Zitiervorschlag: § 29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