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 PflSchG 2012 — Getrennte Lagerung</w:t>
      </w:r>
    </w:p>
    <w:p>
      <w:r>
        <w:rPr>
          <w:color w:val="555555"/>
          <w:sz w:val="18"/>
        </w:rPr>
        <w:t xml:space="preserve">Pflanzenschutzgesetz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Verfügungsberechtigte und Besitzer von Lebensmitteln, Futtermitteln, Saatgut, Pflanzgut oder Kultursubstrat, die für die Ausfuhr bestimmt sind und die mit Pflanzenschutzmitteln behandelt worden sind, deren Inverkehrbringen nach § 29 Absatz 1 Satz 1 Nummer 2 genehmigt worden ist, sind verpflichtet, diese von den für das Inverkehrbringen im Inland bestimmten Lebensmitteln, Futtermitteln, Saatgut, Pflanzgut oder Kultursubstrat getrennt zu halten und entsprechend kenntlich zu machen.</w:t>
      </w:r>
    </w:p>
    <w:p>
      <w:r>
        <w:rPr>
          <w:color w:val="555555"/>
          <w:sz w:val="17"/>
        </w:rPr>
        <w:t xml:space="preserve">Zitiervorschlag: § 26 PflSchG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https://recht.nulegal.eu/gesetze/PflSchG%202012/26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