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PflSchG 2012 — Ausfuhr</w:t>
      </w:r>
    </w:p>
    <w:p>
      <w:r>
        <w:rPr>
          <w:color w:val="555555"/>
          <w:sz w:val="18"/>
        </w:rPr>
        <w:t xml:space="preserve">Pflanzenschutzgesetz</w:t>
      </w:r>
    </w:p>
    <w:p>
      <w:r>
        <w:rPr>
          <w:color w:val="555555"/>
          <w:sz w:val="18"/>
        </w:rPr>
        <w:t xml:space="preserve">Stand: 12.08.2020 (konsolidierte Textfassung, kein amtliches Inkrafttretensdatum)</w:t>
      </w:r>
    </w:p>
    <w:p>
      <w:r>
        <w:t xml:space="preserve">(1) Soweit nicht Regelungen in anderen Rechtsvorschriften getroffen worden sind, dürfen Pflanzenschutzmittel zu gewerblichen Zwecken oder im Rahmen sonstiger wirtschaftlicher Unternehmungen in andere als Mitgliedstaaten nur ausgeführt werden, wenn</w:t>
      </w:r>
    </w:p>
    <w:p>
      <w:pPr>
        <w:ind w:left="420"/>
      </w:pPr>
      <w:r>
        <w:t xml:space="preserve">1. auf den Behältnissen und abgabefertigen Packungen in deutlich sichtbarer, leicht lesbarer Schrift unverwischbar die Bezeichnung des Pflanzenschutzmittels, die Wirkstoffe nach Art und Menge und das Verfallsdatum bei Pflanzenschutzmitteln mit längstens zweijähriger Haltbarkeit angegeben sind und</w:t>
      </w:r>
    </w:p>
    <w:p>
      <w:pPr>
        <w:ind w:left="420"/>
      </w:pPr>
      <w:r>
        <w:t xml:space="preserve">2. den Behältnissen und abgabefertigen Packungen eine Gebrauchsanleitung mit Angaben beigefügt ist über</w:t>
      </w:r>
    </w:p>
    <w:p>
      <w:pPr>
        <w:ind w:left="780"/>
      </w:pPr>
      <w:r>
        <w:t xml:space="preserve">a) die bestimmungsgemäße und sachgerechte Anwendung,</w:t>
      </w:r>
    </w:p>
    <w:p>
      <w:pPr>
        <w:ind w:left="780"/>
      </w:pPr>
      <w:r>
        <w:t xml:space="preserve">b) mögliche schädliche Auswirkungen auf die Gesundheit von Mensch und Tier sowie auf den Naturhaushalt,</w:t>
      </w:r>
    </w:p>
    <w:p>
      <w:pPr>
        <w:ind w:left="780"/>
      </w:pPr>
      <w:r>
        <w:t xml:space="preserve">c) Vorsichtsmaßnahmen sowie Sofortmaßnahmen bei Unfällen,</w:t>
      </w:r>
    </w:p>
    <w:p>
      <w:pPr>
        <w:ind w:left="780"/>
      </w:pPr>
      <w:r>
        <w:t xml:space="preserve">d) die sachgerechte Entsorgung oder Neutralisierung.</w:t>
      </w:r>
    </w:p>
    <w:p>
      <w:r>
        <w:t xml:space="preserve">Im Übrigen sind bei der Ausfuhr internationale Vereinbarungen, insbesondere der Verhaltenskodex für das Inverkehrbringen und die Anwendung von Pflanzenschutz- und Schädlingsbekämpfungsmitteln der Ernährungs- und Landwirtschaftsorganisation der Vereinten Nationen, zu berücksichtigen.</w:t>
      </w:r>
    </w:p>
    <w:p>
      <w:r>
        <w:t xml:space="preserve">(2) Verfügungsberechtigte und Besitzer von für die Ausfuhr bestimmten Pflanzenschutzmitteln, die</w:t>
      </w:r>
    </w:p>
    <w:p>
      <w:pPr>
        <w:ind w:left="420"/>
      </w:pPr>
      <w:r>
        <w:t xml:space="preserve">1. nicht nach den Vorschriften der Verordnung (EG) Nr. 1107/2009 zugelassen sind oder</w:t>
      </w:r>
    </w:p>
    <w:p>
      <w:pPr>
        <w:ind w:left="420"/>
      </w:pPr>
      <w:r>
        <w:t xml:space="preserve">2. nicht nach § 31 Absatz 2 gekennzeichnet sind,</w:t>
      </w:r>
    </w:p>
    <w:p>
      <w:r>
        <w:t xml:space="preserve">sind verpflichtet, diese von den für die Anwendung innerhalb des Geltungsbereiches dieses Gesetzes bestimmten Pflanzenschutzmitteln getrennt zu halten und entsprechend kenntlich zu machen. Satz 1 Nummer 2 gilt entsprechend für Kultursubstrate, für die die Kennzeichnung in einer Rechtsverordnung nach § 31 Absatz 6 Nummer 5 vorgeschrieben worden ist.</w:t>
      </w:r>
    </w:p>
    <w:p>
      <w:r>
        <w:t xml:space="preserve">(3) Das Bundesministerium für Ernährung und Landwirtschaft wird ermächtigt, soweit dies</w:t>
      </w:r>
    </w:p>
    <w:p>
      <w:pPr>
        <w:ind w:left="420"/>
      </w:pPr>
      <w:r>
        <w:t xml:space="preserve">1. zur Durchführung von Rechtsakten der Europäischen Gemeinschaft oder der Europäischen Union oder</w:t>
      </w:r>
    </w:p>
    <w:p>
      <w:pPr>
        <w:ind w:left="420"/>
      </w:pPr>
      <w:r>
        <w:t xml:space="preserve">2. zur Abwehr erheblicher, auf andere Weise nicht zu behebender Gefahren für die Gesundheit von Mensch oder Tier oder sonstiger Gefahren, insbesondere für den Naturhaushalt,</w:t>
      </w:r>
    </w:p>
    <w:p>
      <w:r>
        <w:t xml:space="preserve">erforderlich ist, im Einvernehmen mit den Bundesministerien für Wirtschaft und Energie, für Arbeit und Soziales, für Umwelt, Naturschutz und nukleare Sicherheit und für wirtschaftliche Zusammenarbeit und Entwicklung durch Rechtsverordnung mit Zustimmung des Bundesrates die Ausfuhr bestimmter Pflanzenschutzmittel oder von Pflanzenschutzmitteln mit bestimmten Stoffen in Staaten außerhalb der Europäischen Union zu verbieten oder zu beschränken oder von einer Genehmigung oder Anzeige abhängig zu machen.</w:t>
      </w:r>
    </w:p>
    <w:p>
      <w:r>
        <w:rPr>
          <w:color w:val="555555"/>
          <w:sz w:val="17"/>
        </w:rPr>
        <w:t xml:space="preserve">Zitiervorschlag: § 25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