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PflSchG 2012 — Weitergehende Länderbefugnisse</w:t>
      </w:r>
    </w:p>
    <w:p>
      <w:r>
        <w:rPr>
          <w:color w:val="555555"/>
          <w:sz w:val="18"/>
        </w:rPr>
        <w:t xml:space="preserve">Pflanzenschutzgesetz</w:t>
      </w:r>
    </w:p>
    <w:p>
      <w:r>
        <w:rPr>
          <w:color w:val="555555"/>
          <w:sz w:val="18"/>
        </w:rPr>
        <w:t xml:space="preserve">Stand: 10.06.2019 (konsolidierte Textfassung, kein amtliches Inkrafttretensdatum)</w:t>
      </w:r>
    </w:p>
    <w:p>
      <w:r>
        <w:t xml:space="preserve">(1) Befugnisse der Länder,</w:t>
      </w:r>
    </w:p>
    <w:p>
      <w:pPr>
        <w:ind w:left="420"/>
      </w:pPr>
      <w:r>
        <w:t xml:space="preserve">1. Vorschriften zu erlassen, über</w:t>
      </w:r>
    </w:p>
    <w:p>
      <w:pPr>
        <w:ind w:left="780"/>
      </w:pPr>
      <w:r>
        <w:t xml:space="preserve">a) die Anwendung von Pflanzenschutzmitteln in Schutzgebieten nach wasserrechtlichen oder naturschutzrechtlichen Bestimmungen, insbesondere unter Berücksichtigung der Zielsetzung von Artikel 12 Buchstabe b der Richtlinie 2009/128/EG,</w:t>
      </w:r>
    </w:p>
    <w:p>
      <w:pPr>
        <w:ind w:left="780"/>
      </w:pPr>
      <w:r>
        <w:t xml:space="preserve">b) Einzelheiten der Anwendung von Pflanzenschutzmitteln an oberirdischen Gewässern oder Küstengewässern oder</w:t>
      </w:r>
    </w:p>
    <w:p>
      <w:pPr>
        <w:ind w:left="420"/>
      </w:pPr>
      <w:r>
        <w:t xml:space="preserve">2. Vorschriften zu erlassen, um</w:t>
      </w:r>
    </w:p>
    <w:p>
      <w:pPr>
        <w:ind w:left="780"/>
      </w:pPr>
      <w:r>
        <w:t xml:space="preserve">a) die Anwendung von Pflanzenschutzmitteln unter Verwendung bestimmter Geräte oder Verfahren oder</w:t>
      </w:r>
    </w:p>
    <w:p>
      <w:pPr>
        <w:ind w:left="780"/>
      </w:pPr>
      <w:r>
        <w:t xml:space="preserve">b) den Anbau bestimmter Pflanzenarten auf Grundstücken, deren Böden mit bestimmten Pflanzenschutzmitteln behandelt worden sind, sowie die Verwendung bestimmter dort gewonnener Pflanzen oder Pflanzenerzeugnisse</w:t>
      </w:r>
    </w:p>
    <w:p>
      <w:pPr>
        <w:ind w:left="420"/>
      </w:pPr>
      <w:r>
        <w:t xml:space="preserve">zu verbieten, zu beschränken oder von einer Genehmigung oder Anzeige abhängig zu machen,</w:t>
      </w:r>
    </w:p>
    <w:p>
      <w:r>
        <w:t xml:space="preserve">bleiben unberührt.</w:t>
      </w:r>
    </w:p>
    <w:p>
      <w:r>
        <w:t xml:space="preserve">(2) Die zuständige Behörde kann nach Maßgabe des Artikels 51 Absatz 1 und 2 der Verordnung (EG) Nr. 1107/2009 auf Antrag im Einzelfall die Anwendung eines zugelassenen Pflanzenschutzmittels in einem anderen als den mit der Zulassung festgesetzten Anwendungsgebieten genehmigen, wenn</w:t>
      </w:r>
    </w:p>
    <w:p>
      <w:pPr>
        <w:ind w:left="420"/>
      </w:pPr>
      <w:r>
        <w:t xml:space="preserve">1. die Anwendung vorgesehen ist</w:t>
      </w:r>
    </w:p>
    <w:p>
      <w:pPr>
        <w:ind w:left="780"/>
      </w:pPr>
      <w:r>
        <w:t xml:space="preserve">a) an Pflanzen, die nur in geringfügigem Umfang angebaut werden, oder</w:t>
      </w:r>
    </w:p>
    <w:p>
      <w:pPr>
        <w:ind w:left="780"/>
      </w:pPr>
      <w:r>
        <w:t xml:space="preserve">b) gegen Schadorganismen, die nur in bestimmten Gebieten erhebliche Schäden verursachen,</w:t>
      </w:r>
    </w:p>
    <w:p>
      <w:pPr>
        <w:ind w:left="420"/>
      </w:pPr>
      <w:r>
        <w:t xml:space="preserve">und</w:t>
      </w:r>
    </w:p>
    <w:p>
      <w:pPr>
        <w:ind w:left="420"/>
      </w:pPr>
      <w:r>
        <w:t xml:space="preserve">2. die vorgesehene Anwendung derjenigen in einem mit der Zulassung festgesetzten Anwendungsgebiet entspricht.</w:t>
      </w:r>
    </w:p>
    <w:p>
      <w:r>
        <w:t xml:space="preserve">Die Genehmigung können außer dem Zulassungsinhaber beantragen:</w:t>
      </w:r>
    </w:p>
    <w:p>
      <w:pPr>
        <w:ind w:left="420"/>
      </w:pPr>
      <w:r>
        <w:t xml:space="preserve">1. derjenige, der Pflanzenschutzmittel zu gewerblichen Zwecken oder im Rahmen sonstiger wirtschaftlicher Unternehmungen in einem Betrieb der Landwirtschaft, des Gartenbaus oder der Forstwirtschaft anwendet,</w:t>
      </w:r>
    </w:p>
    <w:p>
      <w:pPr>
        <w:ind w:left="420"/>
      </w:pPr>
      <w:r>
        <w:t xml:space="preserve">2. juristische Personen, deren Mitglieder Personen nach Nummer 1 sind.</w:t>
      </w:r>
    </w:p>
    <w:p>
      <w:r>
        <w:t xml:space="preserve">Eine Genehmigung darf nicht für die Behandlung von Saatgut erteilt werden, es sei denn, das behandelte Saatgut soll ausschließlich im eigenen Betrieb verwendet werden.</w:t>
      </w:r>
    </w:p>
    <w:p>
      <w:r>
        <w:t xml:space="preserve">(3) Eine Genehmigung nach Absatz 2 zum Zwecke der Anwendung des Pflanzenschutzmittels an Pflanzen und Pflanzenerzeugnissen, aus denen Lebensmittel gewonnen werden können, darf nur erteilt werden, wenn</w:t>
      </w:r>
    </w:p>
    <w:p>
      <w:pPr>
        <w:ind w:left="420"/>
      </w:pPr>
      <w:r>
        <w:t xml:space="preserve">1. für die bei bestimmungsgemäßer und sachgerechter Anwendung jeweils zu erwartenden Rückstände des Pflanzenschutzmittels in oder auf Lebensmitteln pflanzlicher Herkunft ein Höchstgehalt nach der Verordnung (EG) Nr. 396/2005 des Europäischen Parlaments und des Rates vom 23. Februar 2005 über Höchstgehalte an Pestizidrückständen in oder auf Lebens- und Futtermitteln pflanzlichen und tierischen Ursprungs und zur Änderung der Richtlinie 91/414/EWG des Rates (ABl. L 70 vom 16.3.2005, S. 1) in der jeweils geltenden Fassung oder nach der Rückstands-Höchstmengenverordnung festgesetzt worden ist, und</w:t>
      </w:r>
    </w:p>
    <w:p>
      <w:pPr>
        <w:ind w:left="420"/>
      </w:pPr>
      <w:r>
        <w:t xml:space="preserve">2. die aus diesen Pflanzen oder Pflanzenerzeugnissen gewonnenen Lebensmittel nur in geringfügigem Umfang zur täglichen Verzehrsmenge beitragen.</w:t>
      </w:r>
    </w:p>
    <w:p>
      <w:r>
        <w:t xml:space="preserve">(4) Vor Erteilung der Genehmigung ist dem Bundesamt für Verbraucherschutz und Lebensmittelsicherheit Gelegenheit zur Stellungnahme zu geben.</w:t>
      </w:r>
    </w:p>
    <w:p>
      <w:r>
        <w:t xml:space="preserve">(5) Die Genehmigung ist mit</w:t>
      </w:r>
    </w:p>
    <w:p>
      <w:pPr>
        <w:ind w:left="420"/>
      </w:pPr>
      <w:r>
        <w:t xml:space="preserve">1. den erforderlichen Auflagen zum Schutz der Gesundheit von Mensch und Tier und zum Schutz vor sonstigen schädlichen Auswirkungen, insbesondere auf den Naturhaushalt, sowie</w:t>
      </w:r>
    </w:p>
    <w:p>
      <w:pPr>
        <w:ind w:left="420"/>
      </w:pPr>
      <w:r>
        <w:t xml:space="preserve">2. dem Vorbehalt des Widerrufes</w:t>
      </w:r>
    </w:p>
    <w:p>
      <w:r>
        <w:t xml:space="preserve">zu verbinden. Die Genehmigung ist zu befristen. Dabei darf die Frist die Dauer der Zulassung des Pflanzenschutzmittels nicht überschreiten. Die Genehmigung ruht, wenn das Ruhen der Zulassung des Pflanzenschutzmittels angeordnet worden ist.</w:t>
      </w:r>
    </w:p>
    <w:p>
      <w:r>
        <w:t xml:space="preserve">(6) Die zuständigen Behörden unterrichten das Bundesamt für Verbraucherschutz und Lebensmittelsicherheit zum Ende eines jeden Vierteljahres über die erteilten Genehmigungen und deren Anzahl und Inhalt durch Einstellen der Information in eine vom Bundesamt für Verbraucherschutz und Lebensmittelsicherheit für diesen Zweck zur Verfügung gestellte Datenbank. In entsprechender Weise unterrichten die zuständigen Behörden über die Rücknahme oder den Widerruf erteilter Genehmigungen. Die zuständigen Behörden unterrichten das Bundesamt für Verbraucherschutz und Lebensmittelsicherheit unverzüglich über Anhaltspunkte auf Gefahren für die Gesundheit von Mensch und Tier sowie für den Naturhaushalt.</w:t>
      </w:r>
    </w:p>
    <w:p>
      <w:r>
        <w:rPr>
          <w:color w:val="555555"/>
          <w:sz w:val="17"/>
        </w:rPr>
        <w:t xml:space="preserve">Zitiervorschlag: § 22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