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PflSchG 2012 — Gebrauch von Pflanzenschutzgeräten</w:t>
      </w:r>
    </w:p>
    <w:p>
      <w:r>
        <w:rPr>
          <w:color w:val="555555"/>
          <w:sz w:val="18"/>
        </w:rPr>
        <w:t xml:space="preserve">Pflanzenschutzgesetz</w:t>
      </w:r>
    </w:p>
    <w:p>
      <w:r>
        <w:rPr>
          <w:color w:val="555555"/>
          <w:sz w:val="18"/>
        </w:rPr>
        <w:t xml:space="preserve">Stand: 10.06.2019 (konsolidierte Textfassung, kein amtliches Inkrafttretensdatum)</w:t>
      </w:r>
    </w:p>
    <w:p>
      <w:r>
        <w:t xml:space="preserve">(1) Wird ein Pflanzenschutzmittel mit Hilfe eines Pflanzenschutzgerätes angewandt, darf dieses Gerät nur so beschaffen sein, dass bei seiner bestimmungsgemäßen und sachgerechten Verwendung die Anwendung des Pflanzenschutzmittels keine schädlichen Auswirkungen auf die Gesundheit von Mensch und Tier und auf das Grundwasser sowie keine sonstigen nicht vertretbaren Auswirkungen, insbesondere auf den Naturhaushalt, hat, die nach dem Stande der Technik vermeidbar sind.</w:t>
      </w:r>
    </w:p>
    <w:p>
      <w:r>
        <w:t xml:space="preserve">(2) Bei Geräten, die mit einer CE-Kennzeichnung nach der Richtlinie 2006/42/EG des Europäischen Parlaments und des Rates vom 17. Mai 2006 über Maschinen und zur Änderung der Richtlinie 95/16/EG (Neufassung) (ABl. L 157 vom 9.6.2006, S. 24), die zuletzt durch die Richtlinie 2009/127/EG (ABl. L 310 vom 25.11.2009, S. 29) geändert worden ist, versehen sind oder bei Geräten, die am 14. Dezember 2011 in die Pflanzenschutzgeräteliste des Julius Kühn-Institutes eingetragen sind, wird vermutet, dass die Voraussetzungen nach Absatz 1 erfüllt sind. Die zuständige Behörde kann die Verwendung eines Pflanzenschutzgerätes untersagen, wenn eine Prüfung des Gerätes ergibt, dass die in Absatz 1 genannten Voraussetzungen nicht erfüllt sind.</w:t>
      </w:r>
    </w:p>
    <w:p>
      <w:r>
        <w:t xml:space="preserve">(3) Werden mit der Zulassung eines Pflanzenschutzmittels besondere Anforderungen für die zu verwendenden Pflanzenschutzgeräte festgelegt, darf die Anwendung nur mit Pflanzenschutzgeräten erfolgen, bei denen eine Prüfung durch das Julius Kühn-Institut oder eine anerkannte Prüfstelle nach § 52 ergeben hat, dass diese Anforderungen erfüllt sind.</w:t>
      </w:r>
    </w:p>
    <w:p>
      <w:r>
        <w:t xml:space="preserve">(4) Das Bundesministerium für Ernährung und Landwirtschaft wird ermächtigt, durch Rechtsverordnung mit Zustimmung des Bundesrates, soweit es zur Erfüllung des in § 1 genannten Zweckes erforderlich ist,</w:t>
      </w:r>
    </w:p>
    <w:p>
      <w:pPr>
        <w:ind w:left="420"/>
      </w:pPr>
      <w:r>
        <w:t xml:space="preserve">1. Verfügungsberechtigte und Besitzer zu verpflichten, im Gebrauch befindliche Pflanzenschutzgeräte prüfen zu lassen,</w:t>
      </w:r>
    </w:p>
    <w:p>
      <w:pPr>
        <w:ind w:left="420"/>
      </w:pPr>
      <w:r>
        <w:t xml:space="preserve">2. die Verwendung von Pflanzenschutzgeräten zu verbieten, die nicht nach Nummer 1 geprüft sind,</w:t>
      </w:r>
    </w:p>
    <w:p>
      <w:pPr>
        <w:ind w:left="420"/>
      </w:pPr>
      <w:r>
        <w:t xml:space="preserve">3. das Verfahren der Prüfung von im Gebrauch befindlichen Pflanzenschutzgeräten zu regeln.</w:t>
      </w:r>
    </w:p>
    <w:p>
      <w:r>
        <w:t xml:space="preserve">In einer Rechtsverordnung nach Satz 1 Nummer 3 kann auch bestimmt werden, dass Teile des zu prüfenden Pflanzenschutzgerätes, die dem Anwenderschutz oder der Verkehrssicherheit dienen, in die Prüfung einzubeziehen sind.</w:t>
      </w:r>
    </w:p>
    <w:p>
      <w:r>
        <w:t xml:space="preserve">(5) Die Landesregierungen werden ermächtigt, soweit es zur Erfüllung des in § 1 genannten Zweckes erforderlich ist, Rechtsverordnungen nach Absatz 4 Satz 1 Nummer 1 und 3, auch in Verbindung mit Satz 2 zu erlassen, soweit das Bundesministerium für Ernährung und Landwirtschaft von seiner Befugnis keinen Gebrauch macht. Dabei können sie auch bestimmen, dass die Prüfung durch eine amtlich anerkannte Kontrollwerkstatt oder sonstige Kontrollperson vorzunehmen ist sowie die Anforderung an die Anerkennung, den Verlust der Anerkennung und das Verfahren zur Anerkennung der Kontrollwerkstätten regeln. Die Landesregierungen können durch Rechtsverordnung diese Befugnis auf oberste Landesbehörden übertragen und dabei bestimmen, dass diese ihre Befugnis durch Rechtsverordnung auf nachgeordnete oder ihrer Aufsicht unterstehende Behörden weiter übertragen können.</w:t>
      </w:r>
    </w:p>
    <w:p>
      <w:r>
        <w:rPr>
          <w:color w:val="555555"/>
          <w:sz w:val="17"/>
        </w:rPr>
        <w:t xml:space="preserve">Zitiervorschlag: § 16 PflSchG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https://recht.nulegal.eu/gesetze/PflSchG%202012/16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