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PflSchG 2012 — Beseitigungspflicht</w:t>
      </w:r>
    </w:p>
    <w:p>
      <w:r>
        <w:rPr>
          <w:color w:val="555555"/>
          <w:sz w:val="18"/>
        </w:rPr>
        <w:t xml:space="preserve">Pflanzenschutzgesetz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Pflanzenschutzmittel,</w:t>
      </w:r>
    </w:p>
    <w:p>
      <w:pPr>
        <w:ind w:left="420"/>
      </w:pPr>
      <w:r>
        <w:t xml:space="preserve">1. deren Anwendung wegen eines Bestehens aus einem bestimmten Stoff oder wegen des Enthaltens eines bestimmten Stoffes durch eine Rechtsverordnung nach § 14 Absatz 1 vollständig verboten ist, oder</w:t>
      </w:r>
    </w:p>
    <w:p>
      <w:pPr>
        <w:ind w:left="420"/>
      </w:pPr>
      <w:r>
        <w:t xml:space="preserve">2. die einen Wirkstoff enthalten, der auf Grund eines Rechtsaktes der Europäischen Gemeinschaft nicht in Anhang I der Richtlinie 91/414/EWG aufgenommen worden ist, dessen Genehmigung nicht nach Artikel 14 der Verordnung (EG) Nr. 1107/2009 erneuert worden ist oder dessen Genehmigung nach Artikel 21 Absatz 3 der Verordnung (EG) Nr. 1107/2009 aufgehoben worden ist und für die die Aufbrauchfrist nach § 12 Absatz 5 abgelaufen ist,</w:t>
      </w:r>
    </w:p>
    <w:p>
      <w:r>
        <w:t xml:space="preserve">sind nach den Bestimmungen des Kreislaufwirtschafts- und Abfallgesetzes und der auf Grund des Kreislaufwirtschafts- und Abfallgesetzes erlassenen Rechtsverordnungen unverzüglich zu beseitigen.</w:t>
      </w:r>
    </w:p>
    <w:p>
      <w:r>
        <w:rPr>
          <w:color w:val="555555"/>
          <w:sz w:val="17"/>
        </w:rPr>
        <w:t xml:space="preserve">Zitiervorschlag: § 15 PflSchG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https://recht.nulegal.eu/gesetze/PflSchG%202012/15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