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PflSchG 2012 — Zweck</w:t>
      </w:r>
    </w:p>
    <w:p>
      <w:r>
        <w:rPr>
          <w:color w:val="555555"/>
          <w:sz w:val="18"/>
        </w:rPr>
        <w:t xml:space="preserve">Pflanzenschutzgesetz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Zweck dieses Gesetzes ist,</w:t>
      </w:r>
    </w:p>
    <w:p>
      <w:pPr>
        <w:ind w:left="420"/>
      </w:pPr>
      <w:r>
        <w:t xml:space="preserve">1. Pflanzen, insbesondere Kulturpflanzen, vor Schadorganismen und nichtparasitären Beeinträchtigungen zu schützen,</w:t>
      </w:r>
    </w:p>
    <w:p>
      <w:pPr>
        <w:ind w:left="420"/>
      </w:pPr>
      <w:r>
        <w:t xml:space="preserve">2. Pflanzenerzeugnisse vor Schadorganismen zu schützen,</w:t>
      </w:r>
    </w:p>
    <w:p>
      <w:pPr>
        <w:ind w:left="420"/>
      </w:pPr>
      <w:r>
        <w:t xml:space="preserve">3. Gefahren, die durch die Anwendung von Pflanzenschutzmitteln oder durch andere Maßnahmen des Pflanzenschutzes, insbesondere für die Gesundheit von Mensch und Tier und für den Naturhaushalt, entstehen können, abzuwenden oder ihnen vorzubeugen,</w:t>
      </w:r>
    </w:p>
    <w:p>
      <w:pPr>
        <w:ind w:left="420"/>
      </w:pPr>
      <w:r>
        <w:t xml:space="preserve">4. Rechtsakte der Europäischen Gemeinschaft oder der Europäischen Union im Anwendungsbereich dieses Gesetzes durchzuführen.</w:t>
      </w:r>
    </w:p>
    <w:p>
      <w:r>
        <w:rPr>
          <w:color w:val="555555"/>
          <w:sz w:val="17"/>
        </w:rPr>
        <w:t xml:space="preserve">Zitiervorschlag: § 1 PflSchG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https://recht.nulegal.eu/gesetze/PflSchG%202012/1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