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PflSchAnwV 1992 — Besondere Abgabebedingungen</w:t>
      </w:r>
    </w:p>
    <w:p>
      <w:r>
        <w:rPr>
          <w:color w:val="555555"/>
          <w:sz w:val="18"/>
        </w:rPr>
        <w:t xml:space="preserve">Pflanzenschutz-Anwendungsverordnung</w:t>
      </w:r>
    </w:p>
    <w:p>
      <w:r>
        <w:rPr>
          <w:color w:val="555555"/>
          <w:sz w:val="18"/>
        </w:rPr>
        <w:t xml:space="preserve">Stand: 01.07.2024 (konsolidierte Textfassung, kein amtliches Inkrafttretensdatum)</w:t>
      </w:r>
    </w:p>
    <w:p>
      <w:r>
        <w:t xml:space="preserve">Pflanzenschutzmittel, die aus einem in Anlage 4 aufgeführten Stoff bestehen oder einen solchen Stoff enthalten und deren Anwendung auf einer Freilandfläche vorgesehen ist, die nicht landwirtschaftlich, forstwirtschaftlich oder gärtnerisch genutzt wird, dürfen nur dann an einen anderen abgegeben werden, wenn dem Abgebenden zuvor eine dem anderen erteilte Genehmigung nach § 12 Absatz 2 Satz 3 des Pflanzenschutzgesetzes vorgelegt worden ist.</w:t>
      </w:r>
    </w:p>
    <w:p>
      <w:r>
        <w:rPr>
          <w:color w:val="555555"/>
          <w:sz w:val="17"/>
        </w:rPr>
        <w:t xml:space="preserve">Zitiervorschlag: § 3a PflSchAnwV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https://recht.nulegal.eu/gesetze/PflSchAnwV%201992/3a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