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PflSchAnwV 1992 — Eingeschränktes Anwendungsverbot</w:t>
      </w:r>
    </w:p>
    <w:p>
      <w:r>
        <w:rPr>
          <w:color w:val="555555"/>
          <w:sz w:val="18"/>
        </w:rPr>
        <w:t xml:space="preserve">Pflanzenschutz-Anwendungsverordnung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Pflanzenschutzmittel, die aus einem in Anlage 2 aufgeführten Stoff bestehen oder einen solchen Stoff enthalten, dürfen nur angewandt werden, soweit dies nach Spalte 3 zulässig ist.</w:t>
      </w:r>
    </w:p>
    <w:p>
      <w:r>
        <w:rPr>
          <w:color w:val="555555"/>
          <w:sz w:val="17"/>
        </w:rPr>
        <w:t xml:space="preserve">Zitiervorschlag: § 2 PflSchAnwV 1992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https://recht.nulegal.eu/gesetze/PflSchAnwV%201992/2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