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27 PflKartV 1986 — Angaben in besonderen Fällen</w:t>
      </w:r>
    </w:p>
    <w:p>
      <w:r>
        <w:rPr>
          <w:color w:val="555555"/>
          <w:sz w:val="18"/>
        </w:rPr>
        <w:t xml:space="preserve">Pflanzkartoffelverordnung</w:t>
      </w:r>
    </w:p>
    <w:p>
      <w:r>
        <w:rPr>
          <w:color w:val="555555"/>
          <w:sz w:val="18"/>
        </w:rPr>
        <w:t xml:space="preserve">Stand: 10.06.2019 (konsolidierte Textfassung, kein amtliches Inkrafttretensdatum)</w:t>
      </w:r>
    </w:p>
    <w:p>
      <w:r>
        <w:t xml:space="preserve">(1) Packungen oder Behältnisse mit anerkanntem Pflanzgut müssen bei Pflanzgut, das nach § 4 Abs. 2 des Saatgutverkehrsgesetzes anerkannt worden oder das nicht zum Anbau in einem Vertragsstaat bestimmt ist (§ 30 Abs. 2 Satz 1 Nr. 5 des Saatgutverkehrsgesetzes), auf dem Etikett oder einem Zusatzetikett zusätzlich die Angabe "Zur Ausfuhr außerhalb der Vertragsstaaten" tragen.</w:t>
      </w:r>
    </w:p>
    <w:p>
      <w:r>
        <w:t xml:space="preserve">(2) Hat das Bundessortenamt die Sortenzulassung oder ihre Verlängerung mit einer Auflage für die Kennzeichnung des Pflanzgutes der Sorte verbunden, so ist auf dem Etikett oder einem Zusatzetikett zusätzlich eine Angabe entsprechend der Auflage anzubringen.</w:t>
      </w:r>
    </w:p>
    <w:p>
      <w:r>
        <w:t xml:space="preserve">(3) Die Packungen oder Behältnisse mit eingeführtem Pflanzgut, für das eine nach § 16 des Saatgutverkehrsgesetzes gleichgestellte Anerkennung vorliegt, müssen in der in Rechtsakten von Organen der Europäischen Gemeinschaften bestimmten Form gekennzeichnet sein. Soweit die Kennzeichnung zusätzliche Angaben nach Anlage 4 Nr. 1.13 enthält und diese nicht in deutscher Sprache angegeben oder in die deutsche Sprache übersetzt sind, sind die Packungen oder Behältnisse nach Ankunft am Bestimmungsort im Inland mit einem Zusatzetikett zu versehen, das die Angaben des Originaletikettes in deutscher Sprache enthält; an die Stelle des Zusatzetikettes kann bei Packungen ein unverwischbarer Aufdruck treten. Die Sätze 1 und 2 gelten nicht, wenn am ersten Bestimmungsort im Inland die Packungen oder die Behältnisse nach § 29 wiederverschlossen werden sollen.</w:t>
      </w:r>
    </w:p>
    <w:p>
      <w:r>
        <w:rPr>
          <w:color w:val="555555"/>
          <w:sz w:val="17"/>
        </w:rPr>
        <w:t xml:space="preserve">Zitiervorschlag: § 27 PflKartV 1986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https://recht.nulegal.eu/gesetze/PflKartV%201986/27</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27 PflKartV 1986</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