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PflKartV 1986 — Begriffsbestimmungen</w:t>
      </w:r>
    </w:p>
    <w:p>
      <w:r>
        <w:rPr>
          <w:color w:val="555555"/>
          <w:sz w:val="18"/>
        </w:rPr>
        <w:t xml:space="preserve">Pflanzkartoffelverordnung</w:t>
      </w:r>
    </w:p>
    <w:p>
      <w:r>
        <w:rPr>
          <w:color w:val="555555"/>
          <w:sz w:val="18"/>
        </w:rPr>
        <w:t xml:space="preserve">Stand: 09.12.2020 (konsolidierte Textfassung, kein amtliches Inkrafttretensdatum)</w:t>
      </w:r>
    </w:p>
    <w:p>
      <w:r>
        <w:t xml:space="preserve">Im Sinne dieser Verordnung sind</w:t>
      </w:r>
    </w:p>
    <w:p>
      <w:pPr>
        <w:ind w:left="420"/>
      </w:pPr>
      <w:r>
        <w:t xml:space="preserve">1. Kennfarbe: zur Kennzeichnung von Pflanzgut dienende Farbe von Etiketten und Einlegern; die Kennfarbe ist bei</w:t>
      </w:r>
    </w:p>
    <w:p>
      <w:r>
        <w:rPr>
          <w:rFonts w:ascii="Courier New" w:hAnsi="Courier New"/>
          <w:sz w:val="17"/>
        </w:rPr>
        <w:t xml:space="preserve">a)    Basispflanzgut    weiß,</w:t>
      </w:r>
    </w:p>
    <w:p>
      <w:r>
        <w:rPr>
          <w:rFonts w:ascii="Courier New" w:hAnsi="Courier New"/>
          <w:sz w:val="17"/>
        </w:rPr>
        <w:t xml:space="preserve">b)    Zertifiziertem Pflanzgut    blau,</w:t>
      </w:r>
    </w:p>
    <w:p>
      <w:r>
        <w:rPr>
          <w:rFonts w:ascii="Courier New" w:hAnsi="Courier New"/>
          <w:sz w:val="17"/>
        </w:rPr>
        <w:t xml:space="preserve">c)    Vorstufenpflanzgut    weiß mit einem von links unten nach rechts oben verlaufenden 5 mm breiten violetten Diagonalstreifen,</w:t>
      </w:r>
    </w:p>
    <w:p>
      <w:r>
        <w:rPr>
          <w:rFonts w:ascii="Courier New" w:hAnsi="Courier New"/>
          <w:sz w:val="17"/>
        </w:rPr>
        <w:t xml:space="preserve">d)    Pflanzgut nicht zugelassener Sorten nach § 3 Absatz 2 des Saatgutverkehrsgesetzes    orange;</w:t>
      </w:r>
    </w:p>
    <w:p>
      <w:pPr>
        <w:ind w:left="420"/>
      </w:pPr>
      <w:r>
        <w:t xml:space="preserve">2. Knollenkrankheiten: an der Kartoffelknolle auftretende Krankheiten außer Viruskrankheiten;</w:t>
      </w:r>
    </w:p>
    <w:p>
      <w:pPr>
        <w:ind w:left="420"/>
      </w:pPr>
      <w:r>
        <w:t xml:space="preserve">2a. RNQPs: unionsgeregelte Nicht-Quarantäneschädlinge (regulated non-quarantine pests) im Sinne des Artikels 36 der Verordnung (EU) 2016/2031 des Europäischen Parlaments und des Rates vom 26. Oktober 2016 über Maßnahmen zum Schutz vor Pflanzenschädlingen, zur Änderung der Verordnungen (EU) Nr. 228/2013, (EU) Nr. 652/2014 und (EU) Nr. 1143/2014 des Europäischen Parlaments und des Rates und zur Aufhebung der Richtlinien 69/464/EWG, 74/647/EWG, 93/85/EWG, 98/57/EG, 2000/29/EG, 2006/91/EG und 2007/33/EG des Rates (ABl. L 317 vom 23.11.2016, S. 4; L 35 vom 7.2.2020, S. 51), die durch die Verordnung (EU) 2017/625 (ABL. L 95 vom 7.4.2017, S. 1; L 137 vom 24.5.2017, S. 40; L 322 vom 18.12.2018, S. 85) geändert worden ist, in der jeweils geltenden Fassung;</w:t>
      </w:r>
    </w:p>
    <w:p>
      <w:pPr>
        <w:ind w:left="420"/>
      </w:pPr>
      <w:r>
        <w:t xml:space="preserve">3. Pflanzgutklasse PBTC: Vorstufenpflanzgut</w:t>
      </w:r>
    </w:p>
    <w:p>
      <w:r>
        <w:rPr>
          <w:rFonts w:ascii="Courier New" w:hAnsi="Courier New"/>
          <w:sz w:val="17"/>
        </w:rPr>
        <w:t xml:space="preserve">    aus Gewebekultur(Pre-Basic TissueCulture);    </w:t>
      </w:r>
    </w:p>
    <w:p>
      <w:pPr>
        <w:ind w:left="420"/>
      </w:pPr>
      <w:r>
        <w:t xml:space="preserve">4. Pflanzgutklasse PB: Vorstufenpflanzgut</w:t>
      </w:r>
    </w:p>
    <w:p>
      <w:r>
        <w:rPr>
          <w:rFonts w:ascii="Courier New" w:hAnsi="Courier New"/>
          <w:sz w:val="17"/>
        </w:rPr>
        <w:t xml:space="preserve">    (Pre-Basic SeedPotatoes).    </w:t>
      </w:r>
    </w:p>
    <w:p>
      <w:r>
        <w:rPr>
          <w:color w:val="555555"/>
          <w:sz w:val="17"/>
        </w:rPr>
        <w:t xml:space="preserve">Zitiervorschlag: § 2 PflKartV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https://recht.nulegal.eu/gesetze/PflKartV%201986/2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