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8 PflGesG — Julius Kühn-Institut</w:t>
      </w:r>
    </w:p>
    <w:p>
      <w:r>
        <w:rPr>
          <w:color w:val="555555"/>
          <w:sz w:val="18"/>
        </w:rPr>
        <w:t xml:space="preserve">Pflanzengesundheitsgesetz</w:t>
      </w:r>
    </w:p>
    <w:p>
      <w:r>
        <w:rPr>
          <w:color w:val="555555"/>
          <w:sz w:val="18"/>
        </w:rPr>
        <w:t xml:space="preserve">Stand: 13.07.2021 (konsolidierte Textfassung, kein amtliches Inkrafttretensdatum)</w:t>
      </w:r>
    </w:p>
    <w:p>
      <w:r>
        <w:t xml:space="preserve">Im Anwendungsbereich dieses Gesetzes ist das Julius Kühn-Institut</w:t>
      </w:r>
    </w:p>
    <w:p>
      <w:pPr>
        <w:ind w:left="420"/>
      </w:pPr>
      <w:r>
        <w:t xml:space="preserve">1. zentrale Behörde im Bereich der Pflanzengesundheit nach Artikel 4 Absatz 2 der Verordnung (EU) 2017/625,</w:t>
      </w:r>
    </w:p>
    <w:p>
      <w:pPr>
        <w:ind w:left="420"/>
      </w:pPr>
      <w:r>
        <w:t xml:space="preserve">2. Kontaktstelle im Bereich der Pflanzengesundheit nach Artikel 30 sowie Artikel 35 Absatz 1 der Durchführungsverordnung (EU) 2019/1715 der Kommission vom 30. September 2019 mit Vorschriften zur Funktionsweise des Informationsmanagementsystems für amtliche Kontrollen und seiner Systemkomponenten und</w:t>
      </w:r>
    </w:p>
    <w:p>
      <w:pPr>
        <w:ind w:left="420"/>
      </w:pPr>
      <w:r>
        <w:t xml:space="preserve">3. Verbindungsstelle im Bereich der Pflanzengesundheit nach Artikel 103 Absatz 1 der Verordnung (EU) 2017/625.</w:t>
      </w:r>
    </w:p>
    <w:p>
      <w:r>
        <w:t xml:space="preserve">Zuständigkeitsregelungen aus anderen Rechtsvorschriften bleiben unberührt.</w:t>
      </w:r>
    </w:p>
    <w:p>
      <w:r>
        <w:rPr>
          <w:color w:val="555555"/>
          <w:sz w:val="17"/>
        </w:rPr>
        <w:t xml:space="preserve">Zitiervorschlag: § 8 PflGesG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https://recht.nulegal.eu/gesetze/PflGesG/8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