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PflGesG — Forderungsübergang, Verordnungsermächtigung</w:t>
      </w:r>
    </w:p>
    <w:p>
      <w:r>
        <w:rPr>
          <w:color w:val="555555"/>
          <w:sz w:val="18"/>
        </w:rPr>
        <w:t xml:space="preserve">Pflanzengesundheitsgesetz</w:t>
      </w:r>
    </w:p>
    <w:p>
      <w:r>
        <w:rPr>
          <w:color w:val="555555"/>
          <w:sz w:val="18"/>
        </w:rPr>
        <w:t xml:space="preserve">Stand: 13.07.2021 (konsolidierte Textfassung, kein amtliches Inkrafttretensdatum)</w:t>
      </w:r>
    </w:p>
    <w:p>
      <w:r>
        <w:t xml:space="preserve">(1) Wird eine Entschädigung nach § 6 Absatz 1 oder 2 geleistet oder ein Ausgleich aus Anlass behördlich angeordneter Maßnahmen zur Bekämpfung oder Verhinderung der Verschleppung von Schadorganismen gewährt, kann sich die Europäische Union an der Entschädigung oder dem Ausgleich beteiligen. Das Bundesministerium für Ernährung und Landwirtschaft wird ermächtigt, durch Rechtsverordnung mit Zustimmung des Bundesrates Regelungen zum Übergang von Entschädigungs- oder Ausgleichsforderungen eines Entschädigungs- oder Ausgleichsberechtigten gegen Dritte auf die Europäische Union in Höhe der anteiligen Finanzierung der Entschädigung oder des Ausgleichs zu treffen, soweit es zur Durchführung von Rechtsakten der Europäischen Gemeinschaft oder der Europäischen Union erforderlich ist. Nähere Einzelheiten des Forderungsüberganges und ein Forderungsübergang im Übrigen auf die Länder, insbesondere Umfang und Verfahren, können in der Rechtsverordnung nach Satz 2 geregelt werden.</w:t>
      </w:r>
    </w:p>
    <w:p>
      <w:r>
        <w:t xml:space="preserve">(2) Soweit sich die Europäische Union an der Leistung eines Landes an einen Entschädigungs- oder Ausgleichsberechtigten beteiligt, geht eine Forderung auf Entschädigung oder Ausgleich, die dem Entschädigungs- oder Ausgleichsberechtigten gegen einen Dritten zusteht, in Höhe der anteiligen Finanzierung der Entschädigung oder des Ausgleichs auf die Europäischen Union über; im Übrigen geht die Forderung auf das Land über, soweit dieses sich an der Finanzierung mit einem eigenen Anteil beteiligt hat.</w:t>
      </w:r>
    </w:p>
    <w:p>
      <w:r>
        <w:rPr>
          <w:color w:val="555555"/>
          <w:sz w:val="17"/>
        </w:rPr>
        <w:t xml:space="preserve">Zitiervorschlag: § 7 PflGesG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https://recht.nulegal.eu/gesetze/PflGesG/7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